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0A1F" w:rsidRDefault="002246CE">
      <w:pPr>
        <w:spacing w:after="0" w:line="259" w:lineRule="auto"/>
        <w:ind w:left="1224" w:right="0" w:firstLine="0"/>
        <w:jc w:val="left"/>
      </w:pPr>
      <w:r>
        <w:rPr>
          <w:b/>
          <w:sz w:val="28"/>
        </w:rPr>
        <w:t>Guidance for Prescribing Second Generation Long Acting</w:t>
      </w:r>
      <w:r>
        <w:rPr>
          <w:sz w:val="28"/>
        </w:rPr>
        <w:t xml:space="preserve"> </w:t>
      </w:r>
      <w:r>
        <w:t xml:space="preserve"> </w:t>
      </w:r>
    </w:p>
    <w:p w:rsidR="007E0A1F" w:rsidRDefault="002246CE">
      <w:pPr>
        <w:spacing w:after="0" w:line="259" w:lineRule="auto"/>
        <w:ind w:left="207" w:right="0" w:firstLine="0"/>
        <w:jc w:val="center"/>
      </w:pPr>
      <w:r>
        <w:rPr>
          <w:b/>
          <w:sz w:val="28"/>
        </w:rPr>
        <w:t>Antipsychotic Injections</w:t>
      </w:r>
      <w:r>
        <w:rPr>
          <w:sz w:val="28"/>
        </w:rPr>
        <w:t xml:space="preserve"> </w:t>
      </w:r>
      <w:r>
        <w:t xml:space="preserve"> </w:t>
      </w:r>
    </w:p>
    <w:p w:rsidR="007E0A1F" w:rsidRDefault="002246CE">
      <w:pPr>
        <w:pStyle w:val="Heading1"/>
      </w:pPr>
      <w:r>
        <w:rPr>
          <w:rFonts w:ascii="Times New Roman" w:eastAsia="Times New Roman" w:hAnsi="Times New Roman" w:cs="Times New Roman"/>
        </w:rPr>
        <w:t xml:space="preserve"> </w:t>
      </w:r>
      <w:r>
        <w:t xml:space="preserve">Introduction  </w:t>
      </w:r>
    </w:p>
    <w:p w:rsidR="007E0A1F" w:rsidRDefault="002246CE">
      <w:pPr>
        <w:spacing w:after="0" w:line="259" w:lineRule="auto"/>
        <w:ind w:left="158" w:right="0" w:firstLine="0"/>
        <w:jc w:val="left"/>
      </w:pPr>
      <w:r>
        <w:rPr>
          <w:rFonts w:ascii="Times New Roman" w:eastAsia="Times New Roman" w:hAnsi="Times New Roman" w:cs="Times New Roman"/>
          <w:sz w:val="24"/>
        </w:rPr>
        <w:t xml:space="preserve"> </w:t>
      </w:r>
      <w:r>
        <w:t xml:space="preserve"> </w:t>
      </w:r>
    </w:p>
    <w:p w:rsidR="007E0A1F" w:rsidRDefault="002246CE">
      <w:pPr>
        <w:ind w:left="240" w:right="0"/>
      </w:pPr>
      <w:r>
        <w:t xml:space="preserve">The purpose of this guidance is to provide clarity on the approval process for the prescribing of the </w:t>
      </w:r>
      <w:proofErr w:type="gramStart"/>
      <w:r>
        <w:t>second generation</w:t>
      </w:r>
      <w:proofErr w:type="gramEnd"/>
      <w:r>
        <w:t xml:space="preserve"> antipsychotic long acting injections within Lancashire Care NHS Foundation Trust.  </w:t>
      </w:r>
    </w:p>
    <w:p w:rsidR="007E0A1F" w:rsidRDefault="002246CE">
      <w:pPr>
        <w:spacing w:after="30"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pPr>
        <w:pStyle w:val="Heading1"/>
        <w:ind w:left="240"/>
      </w:pPr>
      <w:r>
        <w:t>Current Formulary Status</w:t>
      </w:r>
      <w:r>
        <w:rPr>
          <w:b w:val="0"/>
        </w:rPr>
        <w:t xml:space="preserve"> </w:t>
      </w:r>
      <w:r>
        <w:t xml:space="preserve"> </w:t>
      </w:r>
    </w:p>
    <w:p w:rsidR="007E0A1F" w:rsidRDefault="002246CE">
      <w:pPr>
        <w:spacing w:after="0" w:line="259" w:lineRule="auto"/>
        <w:ind w:left="158" w:right="0" w:firstLine="0"/>
        <w:jc w:val="left"/>
      </w:pPr>
      <w:r>
        <w:rPr>
          <w:rFonts w:ascii="Times New Roman" w:eastAsia="Times New Roman" w:hAnsi="Times New Roman" w:cs="Times New Roman"/>
        </w:rPr>
        <w:t xml:space="preserve"> </w:t>
      </w:r>
      <w:r>
        <w:t xml:space="preserve"> </w:t>
      </w:r>
    </w:p>
    <w:p w:rsidR="007E0A1F" w:rsidRDefault="002246CE">
      <w:pPr>
        <w:ind w:left="240" w:right="0"/>
      </w:pPr>
      <w:r>
        <w:t xml:space="preserve">This guidance covers the following preparations which have been recommended by the Lancashire Medicines Management Group (LMMG) and are commissioned by our Clinical Commissioning Groups (CCGs).  </w:t>
      </w:r>
    </w:p>
    <w:p w:rsidR="007E0A1F" w:rsidRDefault="002246CE">
      <w:pPr>
        <w:spacing w:after="2" w:line="259" w:lineRule="auto"/>
        <w:ind w:left="158" w:right="0" w:firstLine="0"/>
        <w:jc w:val="left"/>
      </w:pPr>
      <w:r>
        <w:rPr>
          <w:rFonts w:ascii="Times New Roman" w:eastAsia="Times New Roman" w:hAnsi="Times New Roman" w:cs="Times New Roman"/>
          <w:sz w:val="19"/>
        </w:rPr>
        <w:t xml:space="preserve"> </w:t>
      </w:r>
      <w:r>
        <w:t xml:space="preserve"> </w:t>
      </w:r>
    </w:p>
    <w:p w:rsidR="007E0A1F" w:rsidRDefault="002246CE">
      <w:pPr>
        <w:ind w:left="240" w:right="0"/>
      </w:pPr>
      <w:r>
        <w:t xml:space="preserve">The following </w:t>
      </w:r>
      <w:proofErr w:type="gramStart"/>
      <w:r>
        <w:t>Second Generation</w:t>
      </w:r>
      <w:proofErr w:type="gramEnd"/>
      <w:r>
        <w:t xml:space="preserve"> Antipsychotics LAIs have been approved for use within the Trust:   </w:t>
      </w:r>
    </w:p>
    <w:p w:rsidR="007E0A1F" w:rsidRDefault="002246CE">
      <w:pPr>
        <w:spacing w:after="59" w:line="259" w:lineRule="auto"/>
        <w:ind w:left="158" w:right="0" w:firstLine="0"/>
        <w:jc w:val="left"/>
      </w:pPr>
      <w:r>
        <w:rPr>
          <w:rFonts w:ascii="Times New Roman" w:eastAsia="Times New Roman" w:hAnsi="Times New Roman" w:cs="Times New Roman"/>
        </w:rPr>
        <w:t xml:space="preserve"> </w:t>
      </w:r>
      <w:r>
        <w:t xml:space="preserve"> </w:t>
      </w:r>
    </w:p>
    <w:p w:rsidR="0059374C" w:rsidRPr="0059374C" w:rsidRDefault="002246CE" w:rsidP="0059374C">
      <w:pPr>
        <w:pStyle w:val="ListParagraph"/>
        <w:numPr>
          <w:ilvl w:val="0"/>
          <w:numId w:val="7"/>
        </w:numPr>
        <w:spacing w:after="45"/>
        <w:ind w:right="0"/>
      </w:pPr>
      <w:r>
        <w:t xml:space="preserve">Existing patients on Risperidone but no new approvals after June 2016 </w:t>
      </w:r>
      <w:r w:rsidR="0059374C" w:rsidRPr="0059374C">
        <w:rPr>
          <w:rFonts w:ascii="Segoe MDL2 Assets" w:eastAsia="Segoe MDL2 Assets" w:hAnsi="Segoe MDL2 Assets" w:cs="Segoe MDL2 Assets"/>
        </w:rPr>
        <w:t>.</w:t>
      </w:r>
    </w:p>
    <w:p w:rsidR="007E0A1F" w:rsidRDefault="002246CE" w:rsidP="0059374C">
      <w:pPr>
        <w:pStyle w:val="ListParagraph"/>
        <w:numPr>
          <w:ilvl w:val="0"/>
          <w:numId w:val="7"/>
        </w:numPr>
        <w:spacing w:after="45"/>
        <w:ind w:right="0"/>
      </w:pPr>
      <w:r>
        <w:t xml:space="preserve">Paliperidone palmitate  </w:t>
      </w:r>
    </w:p>
    <w:p w:rsidR="007E0A1F" w:rsidRDefault="002246CE" w:rsidP="0059374C">
      <w:pPr>
        <w:pStyle w:val="ListParagraph"/>
        <w:numPr>
          <w:ilvl w:val="0"/>
          <w:numId w:val="7"/>
        </w:numPr>
        <w:ind w:right="0"/>
      </w:pPr>
      <w:r>
        <w:t xml:space="preserve">Aripiprazole prolonged release suspension  </w:t>
      </w:r>
    </w:p>
    <w:p w:rsidR="007E0A1F" w:rsidRDefault="002246CE">
      <w:pPr>
        <w:spacing w:after="38" w:line="259" w:lineRule="auto"/>
        <w:ind w:left="158" w:right="0" w:firstLine="0"/>
        <w:jc w:val="left"/>
      </w:pPr>
      <w:r>
        <w:rPr>
          <w:rFonts w:ascii="Times New Roman" w:eastAsia="Times New Roman" w:hAnsi="Times New Roman" w:cs="Times New Roman"/>
          <w:sz w:val="12"/>
        </w:rPr>
        <w:t xml:space="preserve"> </w:t>
      </w:r>
      <w:r>
        <w:rPr>
          <w:rFonts w:ascii="Times New Roman" w:eastAsia="Times New Roman" w:hAnsi="Times New Roman" w:cs="Times New Roman"/>
          <w:sz w:val="20"/>
        </w:rPr>
        <w:t xml:space="preserve">  </w:t>
      </w:r>
      <w:r>
        <w:t xml:space="preserve"> </w:t>
      </w:r>
    </w:p>
    <w:p w:rsidR="007E0A1F" w:rsidRDefault="002246CE">
      <w:pPr>
        <w:ind w:left="240" w:right="0"/>
      </w:pPr>
      <w:r>
        <w:t xml:space="preserve">All the second generation are currently RAG rated as RED which means that they cannot be passed back to the GP for prescribing and are not covered by the Shared Care Prescribing arrangements for Antipsychotics.  </w:t>
      </w:r>
    </w:p>
    <w:p w:rsidR="007E0A1F" w:rsidRDefault="002246CE">
      <w:pPr>
        <w:spacing w:after="0"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pPr>
        <w:ind w:left="240" w:right="0"/>
      </w:pPr>
      <w:r>
        <w:t xml:space="preserve">This guidance supports prescribing in line with the following recommendations of the NICE Clinical Guideline 178:  </w:t>
      </w:r>
    </w:p>
    <w:p w:rsidR="007E0A1F" w:rsidRDefault="002246CE">
      <w:pPr>
        <w:spacing w:after="0" w:line="259" w:lineRule="auto"/>
        <w:ind w:left="158" w:right="0" w:firstLine="0"/>
        <w:jc w:val="left"/>
      </w:pPr>
      <w:r>
        <w:rPr>
          <w:rFonts w:ascii="Times New Roman" w:eastAsia="Times New Roman" w:hAnsi="Times New Roman" w:cs="Times New Roman"/>
        </w:rPr>
        <w:t xml:space="preserve"> </w:t>
      </w:r>
      <w:r>
        <w:t xml:space="preserve"> </w:t>
      </w:r>
    </w:p>
    <w:p w:rsidR="007E0A1F" w:rsidRDefault="002246CE" w:rsidP="0059374C">
      <w:pPr>
        <w:pStyle w:val="ListParagraph"/>
        <w:numPr>
          <w:ilvl w:val="0"/>
          <w:numId w:val="9"/>
        </w:numPr>
        <w:spacing w:after="0" w:line="275" w:lineRule="auto"/>
        <w:ind w:right="0"/>
        <w:jc w:val="left"/>
      </w:pPr>
      <w:r w:rsidRPr="0059374C">
        <w:rPr>
          <w:shd w:val="clear" w:color="auto" w:fill="F9F9FA"/>
        </w:rPr>
        <w:t>The choice of antipsychotic medication should be made by the service user and healthcare</w:t>
      </w:r>
      <w:r>
        <w:t xml:space="preserve"> </w:t>
      </w:r>
      <w:r w:rsidRPr="0059374C">
        <w:rPr>
          <w:shd w:val="clear" w:color="auto" w:fill="F9F9FA"/>
        </w:rPr>
        <w:t xml:space="preserve">professional together, </w:t>
      </w:r>
      <w:proofErr w:type="gramStart"/>
      <w:r w:rsidRPr="0059374C">
        <w:rPr>
          <w:shd w:val="clear" w:color="auto" w:fill="F9F9FA"/>
        </w:rPr>
        <w:t>taking into account</w:t>
      </w:r>
      <w:proofErr w:type="gramEnd"/>
      <w:r w:rsidRPr="0059374C">
        <w:rPr>
          <w:shd w:val="clear" w:color="auto" w:fill="F9F9FA"/>
        </w:rPr>
        <w:t xml:space="preserve"> the views of the carer if the service user agrees.</w:t>
      </w:r>
      <w:r>
        <w:t xml:space="preserve">  </w:t>
      </w:r>
    </w:p>
    <w:p w:rsidR="007E0A1F" w:rsidRDefault="002246CE" w:rsidP="0059374C">
      <w:pPr>
        <w:pStyle w:val="ListParagraph"/>
        <w:numPr>
          <w:ilvl w:val="0"/>
          <w:numId w:val="9"/>
        </w:numPr>
        <w:spacing w:after="40"/>
        <w:ind w:right="0"/>
      </w:pPr>
      <w:r>
        <w:t xml:space="preserve">Consider  offering  depot /long-acting injectable antipsychotic  medication  to  people  with psychosis or schizophrenia:  </w:t>
      </w:r>
    </w:p>
    <w:p w:rsidR="0059374C" w:rsidRDefault="002246CE" w:rsidP="000F0C1F">
      <w:pPr>
        <w:pStyle w:val="ListParagraph"/>
        <w:numPr>
          <w:ilvl w:val="0"/>
          <w:numId w:val="15"/>
        </w:numPr>
        <w:spacing w:after="3" w:line="307" w:lineRule="auto"/>
        <w:ind w:right="1455"/>
        <w:jc w:val="left"/>
      </w:pPr>
      <w:r>
        <w:t>who would prefer such treatment a</w:t>
      </w:r>
      <w:r w:rsidR="0059374C">
        <w:t xml:space="preserve">fter an acute </w:t>
      </w:r>
      <w:proofErr w:type="gramStart"/>
      <w:r w:rsidR="0059374C">
        <w:t>episode</w:t>
      </w:r>
      <w:proofErr w:type="gramEnd"/>
      <w:r w:rsidR="0059374C">
        <w:t xml:space="preserve">   </w:t>
      </w:r>
      <w:r w:rsidR="0059374C">
        <w:tab/>
      </w:r>
    </w:p>
    <w:p w:rsidR="0059374C" w:rsidRDefault="0059374C" w:rsidP="000F0C1F">
      <w:pPr>
        <w:pStyle w:val="ListParagraph"/>
        <w:numPr>
          <w:ilvl w:val="0"/>
          <w:numId w:val="15"/>
        </w:numPr>
        <w:spacing w:after="3" w:line="307" w:lineRule="auto"/>
        <w:ind w:right="1455"/>
        <w:jc w:val="left"/>
      </w:pPr>
      <w:r>
        <w:t>where a</w:t>
      </w:r>
      <w:r w:rsidR="002246CE">
        <w:t xml:space="preserve">voiding covert non-adherence (either intentional or </w:t>
      </w:r>
      <w:r w:rsidR="000F0C1F">
        <w:t xml:space="preserve">unintentional) to </w:t>
      </w:r>
      <w:r w:rsidR="002246CE">
        <w:t>antipsychotic medication is a clinical priority</w:t>
      </w:r>
      <w:r>
        <w:t xml:space="preserve"> within the treatment plan.   </w:t>
      </w:r>
      <w:r>
        <w:tab/>
      </w:r>
    </w:p>
    <w:p w:rsidR="000F0C1F" w:rsidRDefault="000F0C1F" w:rsidP="000F0C1F">
      <w:pPr>
        <w:pStyle w:val="ListParagraph"/>
        <w:spacing w:after="3" w:line="307" w:lineRule="auto"/>
        <w:ind w:left="965" w:right="1455" w:firstLine="0"/>
        <w:jc w:val="left"/>
      </w:pPr>
    </w:p>
    <w:p w:rsidR="007E0A1F" w:rsidRDefault="0059374C" w:rsidP="0059374C">
      <w:pPr>
        <w:pStyle w:val="ListParagraph"/>
        <w:numPr>
          <w:ilvl w:val="0"/>
          <w:numId w:val="11"/>
        </w:numPr>
        <w:spacing w:after="3" w:line="307" w:lineRule="auto"/>
        <w:ind w:right="1455"/>
        <w:jc w:val="left"/>
      </w:pPr>
      <w:r>
        <w:t>W</w:t>
      </w:r>
      <w:r w:rsidR="002246CE">
        <w:t>hen initiating depot/long-acting injec</w:t>
      </w:r>
      <w:r>
        <w:t xml:space="preserve">table antipsychotic medication </w:t>
      </w:r>
      <w:proofErr w:type="gramStart"/>
      <w:r>
        <w:t>take into account</w:t>
      </w:r>
      <w:proofErr w:type="gramEnd"/>
      <w:r>
        <w:t xml:space="preserve"> service user preferences and attitudes towards regular intramuscular injections</w:t>
      </w:r>
    </w:p>
    <w:p w:rsidR="007E0A1F" w:rsidRDefault="002246CE" w:rsidP="0059374C">
      <w:pPr>
        <w:pStyle w:val="ListParagraph"/>
        <w:numPr>
          <w:ilvl w:val="0"/>
          <w:numId w:val="11"/>
        </w:numPr>
        <w:spacing w:after="3" w:line="307" w:lineRule="auto"/>
        <w:ind w:right="0"/>
        <w:jc w:val="left"/>
      </w:pPr>
      <w:r>
        <w:t>Offer clozapine to people with schizophrenia who</w:t>
      </w:r>
      <w:r w:rsidR="0059374C">
        <w:t xml:space="preserve">se illness </w:t>
      </w:r>
      <w:proofErr w:type="gramStart"/>
      <w:r w:rsidR="0059374C">
        <w:t>has</w:t>
      </w:r>
      <w:proofErr w:type="gramEnd"/>
      <w:r w:rsidR="0059374C">
        <w:t xml:space="preserve"> not responded </w:t>
      </w:r>
      <w:r>
        <w:t xml:space="preserve">adequately to treatment despite the sequential use </w:t>
      </w:r>
      <w:r w:rsidR="0059374C">
        <w:t xml:space="preserve">of adequate doses of at least two </w:t>
      </w:r>
      <w:r>
        <w:t>different</w:t>
      </w:r>
      <w:r w:rsidR="0059374C">
        <w:t xml:space="preserve"> antipsychotic drugs. At least one</w:t>
      </w:r>
      <w:r>
        <w:t xml:space="preserve"> of the drugs shou</w:t>
      </w:r>
      <w:r w:rsidR="0059374C">
        <w:t xml:space="preserve">ld be a non-clozapine second- </w:t>
      </w:r>
      <w:r>
        <w:t xml:space="preserve">generation </w:t>
      </w:r>
      <w:proofErr w:type="gramStart"/>
      <w:r>
        <w:t>antipsychotic</w:t>
      </w:r>
      <w:proofErr w:type="gramEnd"/>
      <w:r>
        <w:t xml:space="preserve"> </w:t>
      </w:r>
    </w:p>
    <w:p w:rsidR="007E0A1F" w:rsidRDefault="002246CE">
      <w:pPr>
        <w:pStyle w:val="Heading1"/>
        <w:ind w:left="240"/>
      </w:pPr>
      <w:r>
        <w:t>Approval process</w:t>
      </w:r>
      <w:r>
        <w:rPr>
          <w:b w:val="0"/>
        </w:rPr>
        <w:t xml:space="preserve"> </w:t>
      </w:r>
      <w:r>
        <w:t xml:space="preserve"> </w:t>
      </w:r>
    </w:p>
    <w:p w:rsidR="007E0A1F" w:rsidRDefault="002246CE">
      <w:pPr>
        <w:spacing w:after="0" w:line="259" w:lineRule="auto"/>
        <w:ind w:left="158" w:right="0" w:firstLine="0"/>
        <w:jc w:val="left"/>
      </w:pPr>
      <w:r>
        <w:rPr>
          <w:rFonts w:ascii="Times New Roman" w:eastAsia="Times New Roman" w:hAnsi="Times New Roman" w:cs="Times New Roman"/>
          <w:sz w:val="24"/>
        </w:rPr>
        <w:t xml:space="preserve"> </w:t>
      </w:r>
      <w:r>
        <w:t xml:space="preserve"> </w:t>
      </w:r>
    </w:p>
    <w:p w:rsidR="007E0A1F" w:rsidRDefault="002246CE">
      <w:pPr>
        <w:ind w:left="240" w:right="0"/>
      </w:pPr>
      <w:r>
        <w:t xml:space="preserve">Approval to prescribe for individual patients must be obtained prior to prescribing and initiation of treatment for the above LAIs.  </w:t>
      </w:r>
    </w:p>
    <w:p w:rsidR="007E0A1F" w:rsidRDefault="002246CE">
      <w:pPr>
        <w:spacing w:after="0"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pPr>
        <w:ind w:left="240" w:right="0"/>
      </w:pPr>
      <w:r>
        <w:t xml:space="preserve">The approval process will aim for completion within seven working days.  </w:t>
      </w:r>
    </w:p>
    <w:p w:rsidR="007E0A1F" w:rsidRDefault="002246CE">
      <w:pPr>
        <w:spacing w:after="0" w:line="259" w:lineRule="auto"/>
        <w:ind w:left="158" w:right="0" w:firstLine="0"/>
        <w:jc w:val="left"/>
      </w:pPr>
      <w:r>
        <w:rPr>
          <w:rFonts w:ascii="Times New Roman" w:eastAsia="Times New Roman" w:hAnsi="Times New Roman" w:cs="Times New Roman"/>
        </w:rPr>
        <w:t xml:space="preserve"> </w:t>
      </w:r>
      <w:r>
        <w:t xml:space="preserve"> </w:t>
      </w:r>
    </w:p>
    <w:p w:rsidR="007E0A1F" w:rsidRDefault="002246CE">
      <w:pPr>
        <w:ind w:left="240" w:right="0"/>
      </w:pPr>
      <w:r>
        <w:t>Where approval may be required as an emergency e.g. transfer of existing patients into LCFT who are prescribed any of the above products the Chief Pharmacist and Deputy Medical</w:t>
      </w:r>
      <w:r w:rsidR="0059374C">
        <w:t xml:space="preserve"> Director should be contacted for emergency approval to prevent gaps in treatment. An application</w:t>
      </w:r>
      <w:r w:rsidR="000F0C1F">
        <w:t xml:space="preserve"> form will need to be </w:t>
      </w:r>
      <w:r w:rsidR="0059374C">
        <w:t>completed retrospectively to ensure the injection is clinically appropriate and to meet commissioner requirements.</w:t>
      </w:r>
    </w:p>
    <w:p w:rsidR="007E0A1F" w:rsidRDefault="002246CE">
      <w:pPr>
        <w:spacing w:after="0"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pPr>
        <w:ind w:left="240" w:right="0"/>
      </w:pPr>
      <w:r>
        <w:t xml:space="preserve">A </w:t>
      </w:r>
      <w:proofErr w:type="gramStart"/>
      <w:r>
        <w:t>six month</w:t>
      </w:r>
      <w:proofErr w:type="gramEnd"/>
      <w:r>
        <w:t xml:space="preserve"> review form will be issued to Consultants providing informati</w:t>
      </w:r>
      <w:r w:rsidR="0059374C">
        <w:t>on on response to the SGA  LAI.  Please complete this form on receipt</w:t>
      </w:r>
      <w:r w:rsidR="000F0C1F">
        <w:t>.</w:t>
      </w:r>
    </w:p>
    <w:p w:rsidR="007E0A1F" w:rsidRDefault="002246CE">
      <w:pPr>
        <w:spacing w:after="30"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pPr>
        <w:pStyle w:val="Heading1"/>
        <w:ind w:left="240"/>
      </w:pPr>
      <w:r>
        <w:t>Criteria</w:t>
      </w:r>
      <w:r>
        <w:rPr>
          <w:b w:val="0"/>
        </w:rPr>
        <w:t xml:space="preserve"> </w:t>
      </w:r>
      <w:r>
        <w:t xml:space="preserve"> </w:t>
      </w:r>
    </w:p>
    <w:p w:rsidR="007E0A1F" w:rsidRDefault="002246CE">
      <w:pPr>
        <w:spacing w:after="0" w:line="259" w:lineRule="auto"/>
        <w:ind w:left="158" w:right="0" w:firstLine="0"/>
        <w:jc w:val="left"/>
      </w:pPr>
      <w:r>
        <w:rPr>
          <w:rFonts w:ascii="Times New Roman" w:eastAsia="Times New Roman" w:hAnsi="Times New Roman" w:cs="Times New Roman"/>
          <w:sz w:val="24"/>
        </w:rPr>
        <w:t xml:space="preserve"> </w:t>
      </w:r>
      <w:r>
        <w:t xml:space="preserve"> </w:t>
      </w:r>
    </w:p>
    <w:p w:rsidR="007E0A1F" w:rsidRDefault="002246CE">
      <w:pPr>
        <w:ind w:left="240" w:right="0"/>
      </w:pPr>
      <w:r>
        <w:t>The following criteria are provided as a guide to inform the application and approval process</w:t>
      </w:r>
      <w:r w:rsidR="0059374C">
        <w:t>:</w:t>
      </w:r>
      <w:r>
        <w:t xml:space="preserve">  </w:t>
      </w:r>
    </w:p>
    <w:p w:rsidR="007E0A1F" w:rsidRDefault="002246CE">
      <w:pPr>
        <w:spacing w:after="0" w:line="259" w:lineRule="auto"/>
        <w:ind w:left="159" w:right="0" w:firstLine="0"/>
        <w:jc w:val="left"/>
      </w:pPr>
      <w:r>
        <w:rPr>
          <w:rFonts w:ascii="Times New Roman" w:eastAsia="Times New Roman" w:hAnsi="Times New Roman" w:cs="Times New Roman"/>
        </w:rPr>
        <w:t xml:space="preserve"> </w:t>
      </w:r>
      <w:r>
        <w:t xml:space="preserve"> </w:t>
      </w:r>
    </w:p>
    <w:p w:rsidR="007E0A1F" w:rsidRDefault="002246CE" w:rsidP="0059374C">
      <w:pPr>
        <w:pStyle w:val="ListParagraph"/>
        <w:numPr>
          <w:ilvl w:val="0"/>
          <w:numId w:val="14"/>
        </w:numPr>
        <w:tabs>
          <w:tab w:val="center" w:pos="3023"/>
        </w:tabs>
        <w:spacing w:after="44"/>
        <w:ind w:right="0"/>
        <w:jc w:val="left"/>
      </w:pPr>
      <w:r>
        <w:t xml:space="preserve">Is there evidence of intentional non-adherence? </w:t>
      </w:r>
      <w:r w:rsidRPr="0059374C">
        <w:rPr>
          <w:rFonts w:ascii="Times New Roman" w:eastAsia="Times New Roman" w:hAnsi="Times New Roman" w:cs="Times New Roman"/>
          <w:sz w:val="12"/>
        </w:rPr>
        <w:t xml:space="preserve"> </w:t>
      </w:r>
      <w:r>
        <w:t xml:space="preserve"> </w:t>
      </w:r>
    </w:p>
    <w:p w:rsidR="007E0A1F" w:rsidRDefault="007E0A1F" w:rsidP="0059374C">
      <w:pPr>
        <w:spacing w:after="0" w:line="259" w:lineRule="auto"/>
        <w:ind w:left="158" w:right="0" w:firstLine="105"/>
        <w:jc w:val="left"/>
      </w:pPr>
    </w:p>
    <w:p w:rsidR="007E0A1F" w:rsidRDefault="002246CE" w:rsidP="0059374C">
      <w:pPr>
        <w:pStyle w:val="ListParagraph"/>
        <w:numPr>
          <w:ilvl w:val="0"/>
          <w:numId w:val="14"/>
        </w:numPr>
        <w:spacing w:after="56"/>
        <w:ind w:right="0"/>
      </w:pPr>
      <w:r>
        <w:t xml:space="preserve">Where there is unintentional </w:t>
      </w:r>
      <w:proofErr w:type="gramStart"/>
      <w:r>
        <w:t>non adherence</w:t>
      </w:r>
      <w:proofErr w:type="gramEnd"/>
      <w:r>
        <w:t xml:space="preserve"> have alternative strategies been put in place to promote adherence?  </w:t>
      </w:r>
    </w:p>
    <w:p w:rsidR="007E0A1F" w:rsidRDefault="007E0A1F" w:rsidP="0059374C">
      <w:pPr>
        <w:spacing w:after="0" w:line="259" w:lineRule="auto"/>
        <w:ind w:left="158" w:right="0" w:firstLine="135"/>
        <w:jc w:val="left"/>
      </w:pPr>
    </w:p>
    <w:p w:rsidR="007E0A1F" w:rsidRDefault="002246CE" w:rsidP="0059374C">
      <w:pPr>
        <w:pStyle w:val="ListParagraph"/>
        <w:numPr>
          <w:ilvl w:val="0"/>
          <w:numId w:val="14"/>
        </w:numPr>
        <w:tabs>
          <w:tab w:val="center" w:pos="4240"/>
        </w:tabs>
        <w:ind w:right="0"/>
        <w:jc w:val="left"/>
      </w:pPr>
      <w:r>
        <w:t xml:space="preserve">Has the patient expressed a preference for a LAI above oral medication? </w:t>
      </w:r>
      <w:r w:rsidRPr="0059374C">
        <w:rPr>
          <w:rFonts w:ascii="Times New Roman" w:eastAsia="Times New Roman" w:hAnsi="Times New Roman" w:cs="Times New Roman"/>
          <w:sz w:val="13"/>
        </w:rPr>
        <w:t xml:space="preserve"> </w:t>
      </w:r>
      <w:r>
        <w:t xml:space="preserve"> </w:t>
      </w:r>
    </w:p>
    <w:p w:rsidR="007E0A1F" w:rsidRDefault="007E0A1F" w:rsidP="0059374C">
      <w:pPr>
        <w:spacing w:after="0" w:line="259" w:lineRule="auto"/>
        <w:ind w:left="158" w:right="0" w:firstLine="105"/>
        <w:jc w:val="left"/>
      </w:pPr>
    </w:p>
    <w:p w:rsidR="007E0A1F" w:rsidRDefault="002246CE" w:rsidP="0059374C">
      <w:pPr>
        <w:pStyle w:val="ListParagraph"/>
        <w:numPr>
          <w:ilvl w:val="0"/>
          <w:numId w:val="14"/>
        </w:numPr>
        <w:spacing w:after="61"/>
        <w:ind w:right="0"/>
      </w:pPr>
      <w:r>
        <w:t xml:space="preserve">Has the patient been prescribed </w:t>
      </w:r>
      <w:proofErr w:type="gramStart"/>
      <w:r>
        <w:t>a</w:t>
      </w:r>
      <w:proofErr w:type="gramEnd"/>
      <w:r>
        <w:t xml:space="preserve"> FGA long acting injection or is clearly expressing a preference for a SGA LAI?  </w:t>
      </w:r>
    </w:p>
    <w:p w:rsidR="007E0A1F" w:rsidRDefault="007E0A1F" w:rsidP="0059374C">
      <w:pPr>
        <w:spacing w:after="0" w:line="259" w:lineRule="auto"/>
        <w:ind w:left="158" w:right="0" w:firstLine="135"/>
        <w:jc w:val="left"/>
      </w:pPr>
    </w:p>
    <w:p w:rsidR="007E0A1F" w:rsidRDefault="002246CE" w:rsidP="0059374C">
      <w:pPr>
        <w:pStyle w:val="ListParagraph"/>
        <w:numPr>
          <w:ilvl w:val="0"/>
          <w:numId w:val="14"/>
        </w:numPr>
        <w:spacing w:after="46"/>
        <w:ind w:right="0"/>
      </w:pPr>
      <w:r>
        <w:t xml:space="preserve">Has the patient experienced intolerable side effects with an FGA </w:t>
      </w:r>
      <w:proofErr w:type="gramStart"/>
      <w:r>
        <w:t>long acting</w:t>
      </w:r>
      <w:proofErr w:type="gramEnd"/>
      <w:r>
        <w:t xml:space="preserve"> injection? </w:t>
      </w:r>
      <w:r w:rsidRPr="0059374C">
        <w:rPr>
          <w:rFonts w:ascii="Times New Roman" w:eastAsia="Times New Roman" w:hAnsi="Times New Roman" w:cs="Times New Roman"/>
          <w:sz w:val="12"/>
        </w:rPr>
        <w:t xml:space="preserve"> </w:t>
      </w:r>
      <w:r>
        <w:t xml:space="preserve"> </w:t>
      </w:r>
    </w:p>
    <w:p w:rsidR="007E0A1F" w:rsidRDefault="007E0A1F" w:rsidP="0059374C">
      <w:pPr>
        <w:spacing w:after="0" w:line="259" w:lineRule="auto"/>
        <w:ind w:left="158" w:right="0" w:firstLine="105"/>
        <w:jc w:val="left"/>
      </w:pPr>
    </w:p>
    <w:p w:rsidR="007E0A1F" w:rsidRDefault="002246CE" w:rsidP="0059374C">
      <w:pPr>
        <w:pStyle w:val="ListParagraph"/>
        <w:numPr>
          <w:ilvl w:val="0"/>
          <w:numId w:val="14"/>
        </w:numPr>
        <w:ind w:right="0"/>
      </w:pPr>
      <w:r>
        <w:t xml:space="preserve">Has the patient experienced intolerable side effects with an oral FGA? </w:t>
      </w:r>
      <w:r w:rsidRPr="0059374C">
        <w:rPr>
          <w:rFonts w:ascii="Times New Roman" w:eastAsia="Times New Roman" w:hAnsi="Times New Roman" w:cs="Times New Roman"/>
          <w:sz w:val="13"/>
        </w:rPr>
        <w:t xml:space="preserve"> </w:t>
      </w:r>
      <w:r>
        <w:t xml:space="preserve"> </w:t>
      </w:r>
    </w:p>
    <w:p w:rsidR="007E0A1F" w:rsidRDefault="007E0A1F" w:rsidP="0059374C">
      <w:pPr>
        <w:spacing w:after="0" w:line="259" w:lineRule="auto"/>
        <w:ind w:left="158" w:right="0" w:firstLine="105"/>
        <w:jc w:val="left"/>
      </w:pPr>
    </w:p>
    <w:p w:rsidR="007E0A1F" w:rsidRDefault="002246CE" w:rsidP="0059374C">
      <w:pPr>
        <w:pStyle w:val="ListParagraph"/>
        <w:numPr>
          <w:ilvl w:val="0"/>
          <w:numId w:val="14"/>
        </w:numPr>
        <w:ind w:right="0"/>
      </w:pPr>
      <w:r>
        <w:t xml:space="preserve">Is the patient currently prescribed the oral antipsychotic linked with the LAI being requested? </w:t>
      </w:r>
      <w:r w:rsidRPr="0059374C">
        <w:rPr>
          <w:rFonts w:ascii="Times New Roman" w:eastAsia="Times New Roman" w:hAnsi="Times New Roman" w:cs="Times New Roman"/>
          <w:sz w:val="13"/>
        </w:rPr>
        <w:t xml:space="preserve"> </w:t>
      </w:r>
      <w:r>
        <w:t xml:space="preserve"> </w:t>
      </w:r>
    </w:p>
    <w:p w:rsidR="007E0A1F" w:rsidRDefault="002246CE">
      <w:pPr>
        <w:spacing w:after="11" w:line="259" w:lineRule="auto"/>
        <w:ind w:left="158" w:right="0" w:firstLine="0"/>
        <w:jc w:val="left"/>
      </w:pPr>
      <w:r>
        <w:rPr>
          <w:rFonts w:ascii="Times New Roman" w:eastAsia="Times New Roman" w:hAnsi="Times New Roman" w:cs="Times New Roman"/>
          <w:sz w:val="20"/>
        </w:rPr>
        <w:t xml:space="preserve"> </w:t>
      </w:r>
      <w:r>
        <w:t xml:space="preserve"> </w:t>
      </w:r>
    </w:p>
    <w:p w:rsidR="007E0A1F" w:rsidRDefault="002246CE" w:rsidP="000F0C1F">
      <w:pPr>
        <w:pStyle w:val="ListParagraph"/>
        <w:numPr>
          <w:ilvl w:val="0"/>
          <w:numId w:val="14"/>
        </w:numPr>
        <w:spacing w:after="0" w:line="259" w:lineRule="auto"/>
        <w:ind w:right="0"/>
        <w:jc w:val="left"/>
      </w:pPr>
      <w:r>
        <w:t xml:space="preserve">Has the patient exhibited a positive therapeutic response to oral aripiprazole or oral risperidone?  </w:t>
      </w:r>
    </w:p>
    <w:p w:rsidR="007E0A1F" w:rsidRDefault="007E0A1F" w:rsidP="000F0C1F">
      <w:pPr>
        <w:spacing w:after="0" w:line="259" w:lineRule="auto"/>
        <w:ind w:left="158" w:right="0" w:firstLine="165"/>
        <w:jc w:val="left"/>
      </w:pPr>
    </w:p>
    <w:p w:rsidR="007E0A1F" w:rsidRDefault="002246CE" w:rsidP="000F0C1F">
      <w:pPr>
        <w:pStyle w:val="ListParagraph"/>
        <w:numPr>
          <w:ilvl w:val="0"/>
          <w:numId w:val="14"/>
        </w:numPr>
        <w:spacing w:after="0" w:line="259" w:lineRule="auto"/>
        <w:ind w:right="0"/>
        <w:jc w:val="left"/>
      </w:pPr>
      <w:r>
        <w:t xml:space="preserve">Does the patient fulfil the criteria for prescribing clozapine as defined in the NICE Clinical Guideline 178 </w:t>
      </w:r>
    </w:p>
    <w:p w:rsidR="007E0A1F" w:rsidRDefault="007E0A1F" w:rsidP="000F0C1F">
      <w:pPr>
        <w:spacing w:after="48" w:line="259" w:lineRule="auto"/>
        <w:ind w:left="158" w:right="0" w:firstLine="90"/>
        <w:jc w:val="left"/>
      </w:pPr>
    </w:p>
    <w:p w:rsidR="007E0A1F" w:rsidRDefault="002246CE" w:rsidP="000F0C1F">
      <w:pPr>
        <w:pStyle w:val="ListParagraph"/>
        <w:numPr>
          <w:ilvl w:val="0"/>
          <w:numId w:val="14"/>
        </w:numPr>
        <w:spacing w:after="61"/>
        <w:ind w:right="2"/>
      </w:pPr>
      <w:r>
        <w:t xml:space="preserve">Are there significant risk factors associated with non-adherence e.g. forensic issues, child protection, court orders, previous history of </w:t>
      </w:r>
      <w:proofErr w:type="gramStart"/>
      <w:r>
        <w:t>violence</w:t>
      </w:r>
      <w:proofErr w:type="gramEnd"/>
      <w:r>
        <w:t xml:space="preserve">  </w:t>
      </w:r>
    </w:p>
    <w:p w:rsidR="007E0A1F" w:rsidRDefault="002246CE">
      <w:pPr>
        <w:spacing w:after="0" w:line="259" w:lineRule="auto"/>
        <w:ind w:left="158" w:right="0" w:firstLine="0"/>
        <w:jc w:val="left"/>
      </w:pPr>
      <w:r>
        <w:rPr>
          <w:rFonts w:ascii="Times New Roman" w:eastAsia="Times New Roman" w:hAnsi="Times New Roman" w:cs="Times New Roman"/>
          <w:sz w:val="28"/>
        </w:rPr>
        <w:t xml:space="preserve"> </w:t>
      </w:r>
      <w:r>
        <w:t xml:space="preserve"> </w:t>
      </w:r>
      <w:r>
        <w:rPr>
          <w:rFonts w:ascii="Times New Roman" w:eastAsia="Times New Roman" w:hAnsi="Times New Roman" w:cs="Times New Roman"/>
          <w:sz w:val="28"/>
        </w:rPr>
        <w:t xml:space="preserve"> </w:t>
      </w:r>
      <w:r>
        <w:t xml:space="preserve"> </w:t>
      </w:r>
    </w:p>
    <w:p w:rsidR="007E0A1F" w:rsidRDefault="002246CE">
      <w:pPr>
        <w:pStyle w:val="Heading1"/>
        <w:ind w:left="240"/>
      </w:pPr>
      <w:r>
        <w:t>Approval</w:t>
      </w:r>
      <w:r>
        <w:rPr>
          <w:b w:val="0"/>
        </w:rPr>
        <w:t xml:space="preserve"> </w:t>
      </w:r>
      <w:r>
        <w:t xml:space="preserve"> </w:t>
      </w:r>
    </w:p>
    <w:p w:rsidR="007E0A1F" w:rsidRDefault="002246CE">
      <w:pPr>
        <w:spacing w:after="0" w:line="259" w:lineRule="auto"/>
        <w:ind w:left="158" w:right="0" w:firstLine="0"/>
        <w:jc w:val="left"/>
      </w:pPr>
      <w:r>
        <w:rPr>
          <w:rFonts w:ascii="Times New Roman" w:eastAsia="Times New Roman" w:hAnsi="Times New Roman" w:cs="Times New Roman"/>
        </w:rPr>
        <w:t xml:space="preserve"> </w:t>
      </w:r>
      <w:r>
        <w:t xml:space="preserve"> </w:t>
      </w:r>
    </w:p>
    <w:p w:rsidR="007E0A1F" w:rsidRDefault="002246CE">
      <w:pPr>
        <w:ind w:left="240" w:right="0"/>
      </w:pPr>
      <w:r>
        <w:t xml:space="preserve">Approval will be based on the following: -  </w:t>
      </w:r>
    </w:p>
    <w:p w:rsidR="007E0A1F" w:rsidRDefault="002246CE">
      <w:pPr>
        <w:spacing w:after="0" w:line="259" w:lineRule="auto"/>
        <w:ind w:left="158" w:right="0" w:firstLine="0"/>
        <w:jc w:val="left"/>
      </w:pPr>
      <w:r>
        <w:rPr>
          <w:rFonts w:ascii="Times New Roman" w:eastAsia="Times New Roman" w:hAnsi="Times New Roman" w:cs="Times New Roman"/>
        </w:rPr>
        <w:t xml:space="preserve"> </w:t>
      </w:r>
      <w:r>
        <w:t xml:space="preserve"> </w:t>
      </w:r>
    </w:p>
    <w:p w:rsidR="007E0A1F" w:rsidRDefault="002246CE" w:rsidP="000F0C1F">
      <w:pPr>
        <w:pStyle w:val="ListParagraph"/>
        <w:numPr>
          <w:ilvl w:val="0"/>
          <w:numId w:val="17"/>
        </w:numPr>
        <w:ind w:right="0"/>
      </w:pPr>
      <w:r>
        <w:t xml:space="preserve">The patient fulfils the criteria in the NICE guidance 178 for the prescribing of a </w:t>
      </w:r>
      <w:proofErr w:type="gramStart"/>
      <w:r>
        <w:t>LAI</w:t>
      </w:r>
      <w:proofErr w:type="gramEnd"/>
      <w:r>
        <w:t xml:space="preserve">  </w:t>
      </w:r>
    </w:p>
    <w:p w:rsidR="007E0A1F" w:rsidRDefault="002246CE" w:rsidP="000F0C1F">
      <w:pPr>
        <w:pStyle w:val="ListParagraph"/>
        <w:numPr>
          <w:ilvl w:val="0"/>
          <w:numId w:val="17"/>
        </w:numPr>
        <w:ind w:right="0"/>
      </w:pPr>
      <w:r>
        <w:t xml:space="preserve">The patient has previously been prescribed </w:t>
      </w:r>
      <w:proofErr w:type="gramStart"/>
      <w:r>
        <w:t>a</w:t>
      </w:r>
      <w:proofErr w:type="gramEnd"/>
      <w:r>
        <w:t xml:space="preserve"> FGA LAI or a FGA LAI has been discussed as an option with the patient and the patient will not accept a FGA LAI  </w:t>
      </w:r>
    </w:p>
    <w:p w:rsidR="007E0A1F" w:rsidRDefault="002246CE" w:rsidP="000F0C1F">
      <w:pPr>
        <w:pStyle w:val="ListParagraph"/>
        <w:numPr>
          <w:ilvl w:val="0"/>
          <w:numId w:val="17"/>
        </w:numPr>
        <w:ind w:right="0"/>
      </w:pPr>
      <w:r>
        <w:t xml:space="preserve">The patient has experienced intolerable side effects to </w:t>
      </w:r>
      <w:proofErr w:type="gramStart"/>
      <w:r>
        <w:t>a</w:t>
      </w:r>
      <w:proofErr w:type="gramEnd"/>
      <w:r>
        <w:t xml:space="preserve"> FGA LAI or oral FGA, is expressing a clear preference for a SGA LAI, or has a history of positive response to oral aripiprazole or risperidone and the consultant psychiatrist therefore deems a SGA LAI the most appropriate pharmacological option for the patient  </w:t>
      </w:r>
    </w:p>
    <w:p w:rsidR="007E0A1F" w:rsidRDefault="002246CE" w:rsidP="000F0C1F">
      <w:pPr>
        <w:pStyle w:val="ListParagraph"/>
        <w:numPr>
          <w:ilvl w:val="0"/>
          <w:numId w:val="17"/>
        </w:numPr>
        <w:ind w:right="0"/>
      </w:pPr>
      <w:r>
        <w:t xml:space="preserve">The patient does not fulfil the criteria for prescribing clozapine or clozapine has been discussed with the patient and they are adamantly refusing to accept treatment or clozapine is </w:t>
      </w:r>
      <w:proofErr w:type="gramStart"/>
      <w:r>
        <w:t>contraindicated</w:t>
      </w:r>
      <w:proofErr w:type="gramEnd"/>
      <w:r>
        <w:t xml:space="preserve">  </w:t>
      </w:r>
    </w:p>
    <w:p w:rsidR="007E0A1F" w:rsidRDefault="002246CE" w:rsidP="000F0C1F">
      <w:pPr>
        <w:pStyle w:val="ListParagraph"/>
        <w:numPr>
          <w:ilvl w:val="0"/>
          <w:numId w:val="17"/>
        </w:numPr>
        <w:ind w:right="0"/>
      </w:pPr>
      <w:r>
        <w:t xml:space="preserve">The prescribing is within the licensed indications (maintenance treatment of schizophrenia) or is prescribed for a schizophreniform disorder (schizoaffective disorder)  </w:t>
      </w:r>
    </w:p>
    <w:p w:rsidR="007E0A1F" w:rsidRDefault="002246CE" w:rsidP="000F0C1F">
      <w:pPr>
        <w:pStyle w:val="ListParagraph"/>
        <w:numPr>
          <w:ilvl w:val="0"/>
          <w:numId w:val="17"/>
        </w:numPr>
        <w:ind w:right="0"/>
      </w:pPr>
      <w:r>
        <w:t xml:space="preserve">The prescribing is for bipolar disorder (NICE recommendation) and there is a history of poor adherence with oral antipsychotic </w:t>
      </w:r>
      <w:proofErr w:type="gramStart"/>
      <w:r>
        <w:t>treatment</w:t>
      </w:r>
      <w:proofErr w:type="gramEnd"/>
      <w:r>
        <w:t xml:space="preserve">  </w:t>
      </w:r>
    </w:p>
    <w:p w:rsidR="007E0A1F" w:rsidRDefault="002246CE" w:rsidP="000F0C1F">
      <w:pPr>
        <w:pStyle w:val="ListParagraph"/>
        <w:numPr>
          <w:ilvl w:val="0"/>
          <w:numId w:val="17"/>
        </w:numPr>
        <w:tabs>
          <w:tab w:val="center" w:pos="4624"/>
        </w:tabs>
        <w:ind w:right="0"/>
        <w:jc w:val="left"/>
      </w:pPr>
      <w:r>
        <w:t xml:space="preserve">The patient has been prescribed the oral therapy required as outlined in the </w:t>
      </w:r>
      <w:proofErr w:type="gramStart"/>
      <w:r>
        <w:t>SPC</w:t>
      </w:r>
      <w:proofErr w:type="gramEnd"/>
      <w:r>
        <w:t xml:space="preserve"> </w:t>
      </w:r>
      <w:r w:rsidRPr="000F0C1F">
        <w:rPr>
          <w:rFonts w:ascii="Times New Roman" w:eastAsia="Times New Roman" w:hAnsi="Times New Roman" w:cs="Times New Roman"/>
          <w:sz w:val="13"/>
        </w:rPr>
        <w:t xml:space="preserve"> </w:t>
      </w:r>
      <w:r>
        <w:t xml:space="preserve"> </w:t>
      </w:r>
    </w:p>
    <w:p w:rsidR="007E0A1F" w:rsidRDefault="002246CE">
      <w:pPr>
        <w:spacing w:after="0" w:line="259" w:lineRule="auto"/>
        <w:ind w:left="158" w:right="0" w:firstLine="0"/>
        <w:jc w:val="left"/>
      </w:pPr>
      <w:r>
        <w:rPr>
          <w:rFonts w:ascii="Times New Roman" w:eastAsia="Times New Roman" w:hAnsi="Times New Roman" w:cs="Times New Roman"/>
          <w:sz w:val="20"/>
        </w:rPr>
        <w:t xml:space="preserve"> </w:t>
      </w:r>
      <w:r>
        <w:t xml:space="preserve"> </w:t>
      </w:r>
    </w:p>
    <w:p w:rsidR="007E0A1F" w:rsidRPr="000F0C1F" w:rsidRDefault="002246CE">
      <w:pPr>
        <w:ind w:left="240" w:right="0"/>
      </w:pPr>
      <w:r>
        <w:t xml:space="preserve">All patients where approval is given will require a </w:t>
      </w:r>
      <w:proofErr w:type="gramStart"/>
      <w:r>
        <w:t>six monthly</w:t>
      </w:r>
      <w:proofErr w:type="gramEnd"/>
      <w:r>
        <w:t xml:space="preserve"> update report in respect of outcomes to enable audits to take place. This should include an indication of any re-admissions during the period when the depot was prescribed and an indication of adherence with the depot injection. </w:t>
      </w:r>
      <w:r>
        <w:rPr>
          <w:rFonts w:ascii="Times New Roman" w:eastAsia="Times New Roman" w:hAnsi="Times New Roman" w:cs="Times New Roman"/>
          <w:sz w:val="20"/>
        </w:rPr>
        <w:t xml:space="preserve">  </w:t>
      </w:r>
      <w:r w:rsidR="000F0C1F" w:rsidRPr="000F0C1F">
        <w:rPr>
          <w:rFonts w:eastAsia="Times New Roman"/>
        </w:rPr>
        <w:t xml:space="preserve">A form will be issued to support this review.  Prescribers are asked to complete this form and return as </w:t>
      </w:r>
      <w:proofErr w:type="gramStart"/>
      <w:r w:rsidR="000F0C1F" w:rsidRPr="000F0C1F">
        <w:rPr>
          <w:rFonts w:eastAsia="Times New Roman"/>
        </w:rPr>
        <w:t>indicated</w:t>
      </w:r>
      <w:proofErr w:type="gramEnd"/>
    </w:p>
    <w:p w:rsidR="007E0A1F" w:rsidRPr="000F0C1F" w:rsidRDefault="002246CE">
      <w:pPr>
        <w:spacing w:after="28" w:line="259" w:lineRule="auto"/>
        <w:ind w:left="158" w:right="0" w:firstLine="0"/>
        <w:jc w:val="left"/>
      </w:pPr>
      <w:r w:rsidRPr="000F0C1F">
        <w:t xml:space="preserve"> </w:t>
      </w:r>
    </w:p>
    <w:p w:rsidR="007E0A1F" w:rsidRDefault="002246CE">
      <w:pPr>
        <w:pStyle w:val="Heading1"/>
        <w:ind w:left="240"/>
      </w:pPr>
      <w:r>
        <w:t xml:space="preserve">Paliperidone </w:t>
      </w:r>
      <w:proofErr w:type="gramStart"/>
      <w:r>
        <w:t>Long Acting</w:t>
      </w:r>
      <w:proofErr w:type="gramEnd"/>
      <w:r>
        <w:t xml:space="preserve"> Injection</w:t>
      </w:r>
      <w:r>
        <w:rPr>
          <w:b w:val="0"/>
        </w:rPr>
        <w:t xml:space="preserve"> </w:t>
      </w:r>
      <w:r>
        <w:t xml:space="preserve"> </w:t>
      </w:r>
    </w:p>
    <w:p w:rsidR="000F0C1F" w:rsidRDefault="000F0C1F" w:rsidP="000F0C1F"/>
    <w:p w:rsidR="000F0C1F" w:rsidRPr="000F0C1F" w:rsidRDefault="000F0C1F" w:rsidP="000F0C1F">
      <w:r>
        <w:t xml:space="preserve">For detailed information refer to the Summary of Product Characteristics </w:t>
      </w:r>
      <w:hyperlink r:id="rId11" w:anchor="gref" w:history="1">
        <w:r>
          <w:rPr>
            <w:rStyle w:val="Hyperlink"/>
          </w:rPr>
          <w:t>Home - electronic medicines compendium (</w:t>
        </w:r>
        <w:proofErr w:type="spellStart"/>
        <w:r>
          <w:rPr>
            <w:rStyle w:val="Hyperlink"/>
          </w:rPr>
          <w:t>emc</w:t>
        </w:r>
        <w:proofErr w:type="spellEnd"/>
        <w:r>
          <w:rPr>
            <w:rStyle w:val="Hyperlink"/>
          </w:rPr>
          <w:t>)</w:t>
        </w:r>
      </w:hyperlink>
    </w:p>
    <w:p w:rsidR="007E0A1F" w:rsidRDefault="002246CE">
      <w:pPr>
        <w:spacing w:after="32" w:line="259" w:lineRule="auto"/>
        <w:ind w:left="158" w:right="0" w:firstLine="0"/>
        <w:jc w:val="left"/>
      </w:pPr>
      <w:r>
        <w:rPr>
          <w:rFonts w:ascii="Times New Roman" w:eastAsia="Times New Roman" w:hAnsi="Times New Roman" w:cs="Times New Roman"/>
          <w:sz w:val="24"/>
        </w:rPr>
        <w:t xml:space="preserve"> </w:t>
      </w:r>
      <w:r>
        <w:t xml:space="preserve"> </w:t>
      </w:r>
    </w:p>
    <w:p w:rsidR="007E0A1F" w:rsidRDefault="002246CE" w:rsidP="001D72BD">
      <w:pPr>
        <w:pStyle w:val="ListParagraph"/>
        <w:numPr>
          <w:ilvl w:val="0"/>
          <w:numId w:val="18"/>
        </w:numPr>
        <w:spacing w:after="106"/>
        <w:ind w:right="0"/>
      </w:pPr>
      <w:r>
        <w:t xml:space="preserve">This product does not require </w:t>
      </w:r>
      <w:proofErr w:type="gramStart"/>
      <w:r>
        <w:t>refrigeration</w:t>
      </w:r>
      <w:proofErr w:type="gramEnd"/>
      <w:r>
        <w:t xml:space="preserve">  </w:t>
      </w:r>
    </w:p>
    <w:p w:rsidR="007E0A1F" w:rsidRDefault="002246CE" w:rsidP="001D72BD">
      <w:pPr>
        <w:pStyle w:val="ListParagraph"/>
        <w:numPr>
          <w:ilvl w:val="0"/>
          <w:numId w:val="18"/>
        </w:numPr>
        <w:spacing w:after="50"/>
        <w:ind w:right="0"/>
      </w:pPr>
      <w:r>
        <w:t xml:space="preserve">The injection is administered </w:t>
      </w:r>
      <w:proofErr w:type="gramStart"/>
      <w:r>
        <w:t>on a monthly basis</w:t>
      </w:r>
      <w:proofErr w:type="gramEnd"/>
      <w:r w:rsidR="001D72BD">
        <w:t xml:space="preserve"> initially.  Stable patients can subsequently be transferred to an injection every three or six months (see additional information below)</w:t>
      </w:r>
    </w:p>
    <w:p w:rsidR="007E0A1F" w:rsidRDefault="002246CE" w:rsidP="001D72BD">
      <w:pPr>
        <w:pStyle w:val="ListParagraph"/>
        <w:numPr>
          <w:ilvl w:val="0"/>
          <w:numId w:val="18"/>
        </w:numPr>
        <w:ind w:right="0"/>
      </w:pPr>
      <w:r>
        <w:t xml:space="preserve">The first initiation dose of 150mg should be administered into the deltoid muscle as this promotes faster attainment of therapeutic blood levels with a subsequent injection of 100mg on day 8 into the deltoid </w:t>
      </w:r>
      <w:proofErr w:type="gramStart"/>
      <w:r>
        <w:t>muscle</w:t>
      </w:r>
      <w:proofErr w:type="gramEnd"/>
      <w:r>
        <w:t xml:space="preserve">  </w:t>
      </w:r>
    </w:p>
    <w:p w:rsidR="007E0A1F" w:rsidRDefault="002246CE" w:rsidP="001D72BD">
      <w:pPr>
        <w:pStyle w:val="ListParagraph"/>
        <w:numPr>
          <w:ilvl w:val="0"/>
          <w:numId w:val="18"/>
        </w:numPr>
        <w:spacing w:after="110"/>
        <w:ind w:right="0"/>
      </w:pPr>
      <w:r>
        <w:t xml:space="preserve">Subsequent injections may be administered into either the gluteal or deltoid muscle.  </w:t>
      </w:r>
    </w:p>
    <w:p w:rsidR="007E0A1F" w:rsidRDefault="002246CE" w:rsidP="001D72BD">
      <w:pPr>
        <w:pStyle w:val="ListParagraph"/>
        <w:numPr>
          <w:ilvl w:val="0"/>
          <w:numId w:val="18"/>
        </w:numPr>
        <w:ind w:right="0"/>
      </w:pPr>
      <w:r>
        <w:t xml:space="preserve">The usual maintenance dose is 75mg monthly with a possible dose range of 25mg to 150mg based on individual tolerability and efficacy.  </w:t>
      </w:r>
    </w:p>
    <w:p w:rsidR="007E0A1F" w:rsidRDefault="002246CE" w:rsidP="001D72BD">
      <w:pPr>
        <w:pStyle w:val="ListParagraph"/>
        <w:numPr>
          <w:ilvl w:val="0"/>
          <w:numId w:val="18"/>
        </w:numPr>
        <w:ind w:right="0"/>
      </w:pPr>
      <w:r>
        <w:t xml:space="preserve">Dose adjustments can be made monthly however the full effect of the maintenance dose may not be seen for several months.  </w:t>
      </w:r>
    </w:p>
    <w:p w:rsidR="007E0A1F" w:rsidRDefault="002246CE" w:rsidP="001D72BD">
      <w:pPr>
        <w:pStyle w:val="ListParagraph"/>
        <w:numPr>
          <w:ilvl w:val="0"/>
          <w:numId w:val="18"/>
        </w:numPr>
        <w:ind w:right="0"/>
      </w:pPr>
      <w:r>
        <w:t xml:space="preserve">There is no requirement to maintain oral therapy alongside the administration of the </w:t>
      </w:r>
      <w:proofErr w:type="gramStart"/>
      <w:r>
        <w:t>LAI</w:t>
      </w:r>
      <w:proofErr w:type="gramEnd"/>
      <w:r>
        <w:t xml:space="preserve"> </w:t>
      </w:r>
    </w:p>
    <w:p w:rsidR="007E0A1F" w:rsidRDefault="002246CE" w:rsidP="001D72BD">
      <w:pPr>
        <w:pStyle w:val="ListParagraph"/>
        <w:numPr>
          <w:ilvl w:val="0"/>
          <w:numId w:val="18"/>
        </w:numPr>
        <w:ind w:right="0"/>
      </w:pPr>
      <w:r>
        <w:t xml:space="preserve">Further advice is available when switching from risperidone LAI and where patients are currently prescribed oral and a depot this should be considered as Paliperidone allows for a higher therapeutic dose to be achieved. (See SPC link above for advice on switching)  </w:t>
      </w:r>
    </w:p>
    <w:p w:rsidR="007E0A1F" w:rsidRDefault="002246CE" w:rsidP="001D72BD">
      <w:pPr>
        <w:pStyle w:val="ListParagraph"/>
        <w:numPr>
          <w:ilvl w:val="0"/>
          <w:numId w:val="18"/>
        </w:numPr>
        <w:spacing w:after="40"/>
        <w:ind w:right="0"/>
      </w:pPr>
      <w:r>
        <w:t xml:space="preserve">For maintenance treatment the monthly dose can be administered either seven days before or seven days after the four weekly due date.  </w:t>
      </w:r>
    </w:p>
    <w:p w:rsidR="007E0A1F" w:rsidRDefault="002246CE" w:rsidP="001D72BD">
      <w:pPr>
        <w:pStyle w:val="ListParagraph"/>
        <w:numPr>
          <w:ilvl w:val="0"/>
          <w:numId w:val="18"/>
        </w:numPr>
        <w:spacing w:after="43" w:line="259" w:lineRule="auto"/>
        <w:ind w:right="0"/>
        <w:jc w:val="left"/>
      </w:pPr>
      <w:r>
        <w:t xml:space="preserve">The median time to maximum plasma level is 13 </w:t>
      </w:r>
      <w:proofErr w:type="gramStart"/>
      <w:r>
        <w:t>days</w:t>
      </w:r>
      <w:proofErr w:type="gramEnd"/>
      <w:r>
        <w:t xml:space="preserve">  </w:t>
      </w:r>
    </w:p>
    <w:p w:rsidR="002D695A" w:rsidRPr="001D72BD" w:rsidRDefault="00FD5989" w:rsidP="001D72BD">
      <w:pPr>
        <w:pStyle w:val="ListParagraph"/>
        <w:numPr>
          <w:ilvl w:val="0"/>
          <w:numId w:val="18"/>
        </w:numPr>
        <w:spacing w:after="46"/>
        <w:ind w:right="0"/>
        <w:rPr>
          <w:shd w:val="clear" w:color="auto" w:fill="FFFFFF"/>
        </w:rPr>
      </w:pPr>
      <w:r w:rsidRPr="001D72BD">
        <w:rPr>
          <w:shd w:val="clear" w:color="auto" w:fill="FFFFFF"/>
        </w:rPr>
        <w:t>Patients who are adequately treated with 1-monthly paliperidone palmitate injection at doses of 100 mg or 150 mg (preferably for four months or more) can be transitioned to a 3-monthly or 6-monthly injection if the patient consents and this is</w:t>
      </w:r>
      <w:r w:rsidR="002D695A" w:rsidRPr="001D72BD">
        <w:rPr>
          <w:shd w:val="clear" w:color="auto" w:fill="FFFFFF"/>
        </w:rPr>
        <w:t xml:space="preserve"> clinically appropriate.  </w:t>
      </w:r>
    </w:p>
    <w:p w:rsidR="007E0A1F" w:rsidRPr="002D695A" w:rsidRDefault="002D695A" w:rsidP="001D72BD">
      <w:pPr>
        <w:pStyle w:val="ListParagraph"/>
        <w:numPr>
          <w:ilvl w:val="0"/>
          <w:numId w:val="18"/>
        </w:numPr>
        <w:spacing w:after="46"/>
        <w:ind w:right="0"/>
      </w:pPr>
      <w:r w:rsidRPr="001D72BD">
        <w:rPr>
          <w:shd w:val="clear" w:color="auto" w:fill="FFFFFF"/>
        </w:rPr>
        <w:t>Patients who are prescribed</w:t>
      </w:r>
      <w:r w:rsidR="00FD5989" w:rsidRPr="001D72BD">
        <w:rPr>
          <w:shd w:val="clear" w:color="auto" w:fill="FFFFFF"/>
        </w:rPr>
        <w:t xml:space="preserve"> 3-monthly paliperidone palmitate injection at doses of 350 mg or 525 mg (for at least one injection cycle) and do not require dose adjustment may be transitioned to 6-monthly paliperidone palmitate injection if this is considered clinically appropriate and the patient consents.</w:t>
      </w:r>
      <w:r w:rsidR="002246CE" w:rsidRPr="001D72BD">
        <w:rPr>
          <w:rFonts w:ascii="Segoe MDL2 Assets" w:eastAsia="Segoe MDL2 Assets" w:hAnsi="Segoe MDL2 Assets" w:cs="Segoe MDL2 Assets"/>
        </w:rPr>
        <w:t xml:space="preserve"> </w:t>
      </w:r>
    </w:p>
    <w:p w:rsidR="007E0A1F" w:rsidRDefault="002246CE">
      <w:pPr>
        <w:spacing w:after="0" w:line="259" w:lineRule="auto"/>
        <w:ind w:left="158" w:right="0" w:firstLine="0"/>
        <w:jc w:val="left"/>
      </w:pPr>
      <w:r>
        <w:rPr>
          <w:rFonts w:ascii="Times New Roman" w:eastAsia="Times New Roman" w:hAnsi="Times New Roman" w:cs="Times New Roman"/>
          <w:sz w:val="28"/>
        </w:rPr>
        <w:t xml:space="preserve"> </w:t>
      </w:r>
      <w:r>
        <w:rPr>
          <w:b/>
        </w:rPr>
        <w:t xml:space="preserve"> </w:t>
      </w:r>
    </w:p>
    <w:p w:rsidR="007E0A1F" w:rsidRDefault="002246CE">
      <w:pPr>
        <w:spacing w:after="14" w:line="259" w:lineRule="auto"/>
        <w:ind w:left="240" w:right="0"/>
        <w:jc w:val="left"/>
      </w:pPr>
      <w:r>
        <w:rPr>
          <w:b/>
        </w:rPr>
        <w:t>Aripiprazole Prolonged Release Suspension</w:t>
      </w:r>
      <w:r>
        <w:t xml:space="preserve">  </w:t>
      </w:r>
    </w:p>
    <w:p w:rsidR="007839C7" w:rsidRPr="000F0C1F" w:rsidRDefault="007839C7" w:rsidP="007839C7">
      <w:r>
        <w:t xml:space="preserve">For detailed information refer to the Summary of Product Characteristics </w:t>
      </w:r>
      <w:hyperlink r:id="rId12" w:anchor="gref" w:history="1">
        <w:r>
          <w:rPr>
            <w:rStyle w:val="Hyperlink"/>
          </w:rPr>
          <w:t>Home - electronic medicines compendium (</w:t>
        </w:r>
        <w:proofErr w:type="spellStart"/>
        <w:r>
          <w:rPr>
            <w:rStyle w:val="Hyperlink"/>
          </w:rPr>
          <w:t>emc</w:t>
        </w:r>
        <w:proofErr w:type="spellEnd"/>
        <w:r>
          <w:rPr>
            <w:rStyle w:val="Hyperlink"/>
          </w:rPr>
          <w:t>)</w:t>
        </w:r>
      </w:hyperlink>
    </w:p>
    <w:p w:rsidR="007E0A1F" w:rsidRDefault="007E0A1F">
      <w:pPr>
        <w:spacing w:after="0" w:line="259" w:lineRule="auto"/>
        <w:ind w:left="158" w:right="0" w:firstLine="0"/>
        <w:jc w:val="left"/>
      </w:pPr>
    </w:p>
    <w:p w:rsidR="007E0A1F" w:rsidRDefault="002246CE" w:rsidP="001D72BD">
      <w:pPr>
        <w:pStyle w:val="ListParagraph"/>
        <w:numPr>
          <w:ilvl w:val="0"/>
          <w:numId w:val="19"/>
        </w:numPr>
        <w:spacing w:after="49"/>
        <w:ind w:right="0"/>
      </w:pPr>
      <w:r>
        <w:t xml:space="preserve">This product does not require </w:t>
      </w:r>
      <w:proofErr w:type="gramStart"/>
      <w:r>
        <w:t>refrigeration</w:t>
      </w:r>
      <w:proofErr w:type="gramEnd"/>
      <w:r>
        <w:t xml:space="preserve">  </w:t>
      </w:r>
    </w:p>
    <w:p w:rsidR="007E0A1F" w:rsidRDefault="002246CE" w:rsidP="001D72BD">
      <w:pPr>
        <w:pStyle w:val="ListParagraph"/>
        <w:numPr>
          <w:ilvl w:val="0"/>
          <w:numId w:val="19"/>
        </w:numPr>
        <w:ind w:right="941"/>
      </w:pPr>
      <w:r>
        <w:t xml:space="preserve">The injection is supplied as a </w:t>
      </w:r>
      <w:proofErr w:type="gramStart"/>
      <w:r>
        <w:t>freeze dried</w:t>
      </w:r>
      <w:proofErr w:type="gramEnd"/>
      <w:r>
        <w:t xml:space="preserve"> powder with a solvent for reconstitution, on reconstitution each ml contains 200mg  </w:t>
      </w:r>
    </w:p>
    <w:p w:rsidR="007E0A1F" w:rsidRDefault="002246CE" w:rsidP="001D72BD">
      <w:pPr>
        <w:pStyle w:val="ListParagraph"/>
        <w:numPr>
          <w:ilvl w:val="0"/>
          <w:numId w:val="19"/>
        </w:numPr>
        <w:spacing w:after="46"/>
        <w:ind w:right="0"/>
      </w:pPr>
      <w:r>
        <w:t xml:space="preserve">Tolerability with oral aripiprazole must take place prior to administration of the </w:t>
      </w:r>
      <w:proofErr w:type="gramStart"/>
      <w:r>
        <w:t>LAI</w:t>
      </w:r>
      <w:proofErr w:type="gramEnd"/>
      <w:r>
        <w:t xml:space="preserve">  </w:t>
      </w:r>
    </w:p>
    <w:p w:rsidR="007E0A1F" w:rsidRDefault="002246CE" w:rsidP="001D72BD">
      <w:pPr>
        <w:pStyle w:val="ListParagraph"/>
        <w:numPr>
          <w:ilvl w:val="0"/>
          <w:numId w:val="19"/>
        </w:numPr>
        <w:spacing w:after="46"/>
        <w:ind w:right="0"/>
      </w:pPr>
      <w:r>
        <w:t xml:space="preserve">The recommended starting dose is </w:t>
      </w:r>
      <w:proofErr w:type="gramStart"/>
      <w:r>
        <w:t>400mg</w:t>
      </w:r>
      <w:proofErr w:type="gramEnd"/>
      <w:r>
        <w:t xml:space="preserve">  </w:t>
      </w:r>
    </w:p>
    <w:p w:rsidR="007E0A1F" w:rsidRDefault="002246CE" w:rsidP="001D72BD">
      <w:pPr>
        <w:pStyle w:val="ListParagraph"/>
        <w:numPr>
          <w:ilvl w:val="0"/>
          <w:numId w:val="19"/>
        </w:numPr>
        <w:spacing w:after="51"/>
        <w:ind w:right="0"/>
      </w:pPr>
      <w:r>
        <w:t xml:space="preserve">The recommended maintenance dose is </w:t>
      </w:r>
      <w:proofErr w:type="gramStart"/>
      <w:r>
        <w:t>400mg</w:t>
      </w:r>
      <w:proofErr w:type="gramEnd"/>
      <w:r>
        <w:t xml:space="preserve"> so no titration is required  </w:t>
      </w:r>
    </w:p>
    <w:p w:rsidR="007E0A1F" w:rsidRDefault="002246CE" w:rsidP="001D72BD">
      <w:pPr>
        <w:pStyle w:val="ListParagraph"/>
        <w:numPr>
          <w:ilvl w:val="0"/>
          <w:numId w:val="19"/>
        </w:numPr>
        <w:spacing w:after="65"/>
        <w:ind w:right="0"/>
      </w:pPr>
      <w:r>
        <w:t xml:space="preserve">Treatment with oral aripiprazole should be continued for up to 14 consecutive days during the  initiation of the LAI to maintain therapeutic </w:t>
      </w:r>
      <w:proofErr w:type="gramStart"/>
      <w:r>
        <w:t>levels</w:t>
      </w:r>
      <w:proofErr w:type="gramEnd"/>
      <w:r>
        <w:t xml:space="preserve">  </w:t>
      </w:r>
    </w:p>
    <w:p w:rsidR="007E0A1F" w:rsidRDefault="002246CE" w:rsidP="001D72BD">
      <w:pPr>
        <w:pStyle w:val="ListParagraph"/>
        <w:numPr>
          <w:ilvl w:val="0"/>
          <w:numId w:val="19"/>
        </w:numPr>
        <w:ind w:right="0"/>
      </w:pPr>
      <w:r>
        <w:t xml:space="preserve">If adverse reactions occur a dose reduction to 300mg should be considered </w:t>
      </w:r>
    </w:p>
    <w:p w:rsidR="001D72BD" w:rsidRDefault="001D72BD" w:rsidP="001D72BD">
      <w:pPr>
        <w:ind w:right="0"/>
      </w:pPr>
    </w:p>
    <w:p w:rsidR="001D72BD" w:rsidRDefault="001D72BD" w:rsidP="001D72BD">
      <w:pPr>
        <w:ind w:right="0"/>
        <w:rPr>
          <w:b/>
        </w:rPr>
      </w:pPr>
      <w:r>
        <w:rPr>
          <w:b/>
        </w:rPr>
        <w:t xml:space="preserve">Risperidone </w:t>
      </w:r>
      <w:proofErr w:type="gramStart"/>
      <w:r>
        <w:rPr>
          <w:b/>
        </w:rPr>
        <w:t>Long Acting</w:t>
      </w:r>
      <w:proofErr w:type="gramEnd"/>
      <w:r>
        <w:rPr>
          <w:b/>
        </w:rPr>
        <w:t xml:space="preserve"> Injection</w:t>
      </w:r>
    </w:p>
    <w:p w:rsidR="001D72BD" w:rsidRDefault="001D72BD" w:rsidP="001D72BD">
      <w:pPr>
        <w:ind w:right="0"/>
      </w:pPr>
      <w:r>
        <w:t xml:space="preserve">Risperidone </w:t>
      </w:r>
      <w:proofErr w:type="gramStart"/>
      <w:r>
        <w:t>long acting</w:t>
      </w:r>
      <w:proofErr w:type="gramEnd"/>
      <w:r>
        <w:t xml:space="preserve"> injection is non-formulary for new starters.  Paliperidone</w:t>
      </w:r>
      <w:r w:rsidR="001E6623">
        <w:t xml:space="preserve"> palmitate is the major active metabolite of risperidone.  Paliperidone</w:t>
      </w:r>
      <w:r>
        <w:t xml:space="preserve"> long-acting injection is preferred </w:t>
      </w:r>
      <w:r w:rsidR="00D707B2">
        <w:t>because</w:t>
      </w:r>
      <w:r>
        <w:t>:</w:t>
      </w:r>
    </w:p>
    <w:p w:rsidR="001D72BD" w:rsidRDefault="001D72BD" w:rsidP="001D72BD">
      <w:pPr>
        <w:ind w:right="0"/>
      </w:pPr>
    </w:p>
    <w:p w:rsidR="001D72BD" w:rsidRDefault="001D72BD" w:rsidP="001D72BD">
      <w:pPr>
        <w:pStyle w:val="ListParagraph"/>
        <w:numPr>
          <w:ilvl w:val="0"/>
          <w:numId w:val="20"/>
        </w:numPr>
        <w:ind w:right="0"/>
      </w:pPr>
      <w:r>
        <w:t xml:space="preserve">Risperidone </w:t>
      </w:r>
      <w:proofErr w:type="gramStart"/>
      <w:r>
        <w:t>long acting</w:t>
      </w:r>
      <w:proofErr w:type="gramEnd"/>
      <w:r>
        <w:t xml:space="preserve"> injection requires refrigeration and cold chain transportation</w:t>
      </w:r>
    </w:p>
    <w:p w:rsidR="001D72BD" w:rsidRDefault="001D72BD" w:rsidP="001D72BD">
      <w:pPr>
        <w:pStyle w:val="ListParagraph"/>
        <w:numPr>
          <w:ilvl w:val="0"/>
          <w:numId w:val="20"/>
        </w:numPr>
        <w:ind w:right="0"/>
      </w:pPr>
      <w:r>
        <w:t xml:space="preserve">Risperidone </w:t>
      </w:r>
      <w:proofErr w:type="gramStart"/>
      <w:r>
        <w:t>has to</w:t>
      </w:r>
      <w:proofErr w:type="gramEnd"/>
      <w:r>
        <w:t xml:space="preserve"> be administered more frequently (fortnightly injection)</w:t>
      </w:r>
      <w:r w:rsidR="001E6623">
        <w:t xml:space="preserve"> than </w:t>
      </w:r>
      <w:proofErr w:type="spellStart"/>
      <w:r w:rsidR="001E6623">
        <w:t>paliperidine</w:t>
      </w:r>
      <w:proofErr w:type="spellEnd"/>
      <w:r w:rsidR="001E6623">
        <w:t xml:space="preserve"> (monthly, 3-monthly or 6-monthly)</w:t>
      </w:r>
    </w:p>
    <w:p w:rsidR="00D707B2" w:rsidRDefault="00D707B2" w:rsidP="00D707B2">
      <w:pPr>
        <w:ind w:right="0"/>
      </w:pPr>
    </w:p>
    <w:p w:rsidR="00D707B2" w:rsidRDefault="00D707B2" w:rsidP="00D707B2">
      <w:pPr>
        <w:ind w:right="0"/>
        <w:rPr>
          <w:b/>
        </w:rPr>
      </w:pPr>
      <w:r>
        <w:rPr>
          <w:b/>
        </w:rPr>
        <w:t xml:space="preserve">Olanzapine </w:t>
      </w:r>
      <w:proofErr w:type="spellStart"/>
      <w:r>
        <w:rPr>
          <w:b/>
        </w:rPr>
        <w:t>Embonate</w:t>
      </w:r>
      <w:proofErr w:type="spellEnd"/>
      <w:r>
        <w:rPr>
          <w:b/>
        </w:rPr>
        <w:t xml:space="preserve"> Injection</w:t>
      </w:r>
    </w:p>
    <w:p w:rsidR="00D707B2" w:rsidRPr="00D707B2" w:rsidRDefault="00D707B2" w:rsidP="00D707B2">
      <w:pPr>
        <w:ind w:right="0"/>
      </w:pPr>
      <w:r>
        <w:t xml:space="preserve">Olanzapine </w:t>
      </w:r>
      <w:proofErr w:type="spellStart"/>
      <w:r>
        <w:t>embonate</w:t>
      </w:r>
      <w:proofErr w:type="spellEnd"/>
      <w:r>
        <w:t xml:space="preserve"> injection is non-formulary.  There is a risk of post-injection </w:t>
      </w:r>
      <w:proofErr w:type="gramStart"/>
      <w:r>
        <w:t>syndrome</w:t>
      </w:r>
      <w:proofErr w:type="gramEnd"/>
      <w:r>
        <w:t xml:space="preserve"> and so patients have to be monitored in a healthcare facility by a qualified member of staff  for at least three hours after each injection.</w:t>
      </w:r>
    </w:p>
    <w:p w:rsidR="00B01BE7" w:rsidRDefault="002246CE" w:rsidP="00B01BE7">
      <w:pPr>
        <w:spacing w:after="471" w:line="265" w:lineRule="auto"/>
        <w:ind w:left="205" w:right="200"/>
        <w:jc w:val="center"/>
      </w:pPr>
      <w:r>
        <w:rPr>
          <w:rFonts w:ascii="Calibri" w:eastAsia="Calibri" w:hAnsi="Calibri" w:cs="Calibri"/>
          <w:b/>
          <w:sz w:val="28"/>
          <w:u w:val="single" w:color="000000"/>
        </w:rPr>
        <w:t xml:space="preserve">Request to Prescribe the </w:t>
      </w:r>
      <w:proofErr w:type="gramStart"/>
      <w:r>
        <w:rPr>
          <w:rFonts w:ascii="Calibri" w:eastAsia="Calibri" w:hAnsi="Calibri" w:cs="Calibri"/>
          <w:b/>
          <w:sz w:val="28"/>
          <w:u w:val="single" w:color="000000"/>
        </w:rPr>
        <w:t>Second Generation</w:t>
      </w:r>
      <w:proofErr w:type="gramEnd"/>
      <w:r>
        <w:rPr>
          <w:rFonts w:ascii="Calibri" w:eastAsia="Calibri" w:hAnsi="Calibri" w:cs="Calibri"/>
          <w:b/>
          <w:sz w:val="28"/>
          <w:u w:val="single" w:color="000000"/>
        </w:rPr>
        <w:t xml:space="preserve"> Antipsychotic LAI</w:t>
      </w:r>
      <w:r>
        <w:t xml:space="preserve"> </w:t>
      </w:r>
    </w:p>
    <w:p w:rsidR="007E0A1F" w:rsidRDefault="002246CE" w:rsidP="00B01BE7">
      <w:pPr>
        <w:spacing w:after="471" w:line="265" w:lineRule="auto"/>
        <w:ind w:left="205" w:right="200"/>
        <w:jc w:val="center"/>
      </w:pPr>
      <w:r>
        <w:rPr>
          <w:sz w:val="24"/>
        </w:rPr>
        <w:t xml:space="preserve">This  form  </w:t>
      </w:r>
      <w:r>
        <w:rPr>
          <w:b/>
          <w:sz w:val="24"/>
        </w:rPr>
        <w:t xml:space="preserve">must  </w:t>
      </w:r>
      <w:r>
        <w:rPr>
          <w:sz w:val="24"/>
        </w:rPr>
        <w:t xml:space="preserve">be  completed  by  a  Consultant  Psychiatrist  and  submitted  to  </w:t>
      </w:r>
      <w:r>
        <w:rPr>
          <w:b/>
          <w:sz w:val="24"/>
        </w:rPr>
        <w:t xml:space="preserve">both  </w:t>
      </w:r>
      <w:r>
        <w:rPr>
          <w:sz w:val="24"/>
        </w:rPr>
        <w:t xml:space="preserve">the  Chief Pharmacist and </w:t>
      </w:r>
      <w:r w:rsidR="004A3573" w:rsidRPr="004A3573">
        <w:rPr>
          <w:color w:val="auto"/>
        </w:rPr>
        <w:t xml:space="preserve">Deputy Chief Medical Officer </w:t>
      </w:r>
      <w:r>
        <w:rPr>
          <w:sz w:val="24"/>
        </w:rPr>
        <w:t>for approval via the generic inbox for medicines approvals</w:t>
      </w:r>
      <w:r>
        <w:t xml:space="preserve"> </w:t>
      </w:r>
      <w:r>
        <w:rPr>
          <w:color w:val="0563C1"/>
          <w:u w:val="single" w:color="0563C1"/>
        </w:rPr>
        <w:t>medicine.approvals@lscft.nhs.uk</w:t>
      </w:r>
      <w:r>
        <w:t xml:space="preserve"> </w:t>
      </w:r>
    </w:p>
    <w:p w:rsidR="007E0A1F" w:rsidRDefault="002246CE" w:rsidP="00B01BE7">
      <w:pPr>
        <w:spacing w:after="0" w:line="259" w:lineRule="auto"/>
        <w:ind w:left="292" w:right="0" w:firstLine="0"/>
        <w:jc w:val="center"/>
      </w:pPr>
      <w:r>
        <w:rPr>
          <w:rFonts w:ascii="Calibri" w:eastAsia="Calibri" w:hAnsi="Calibri" w:cs="Calibri"/>
          <w:b/>
          <w:sz w:val="24"/>
        </w:rPr>
        <w:t xml:space="preserve"> ALL SECTIONS MUST BE FULLY COMPLETED </w:t>
      </w:r>
    </w:p>
    <w:p w:rsidR="007E0A1F" w:rsidRDefault="002246CE">
      <w:pPr>
        <w:spacing w:after="0" w:line="259" w:lineRule="auto"/>
        <w:ind w:left="300" w:right="0" w:firstLine="0"/>
        <w:jc w:val="center"/>
      </w:pPr>
      <w:r>
        <w:t xml:space="preserve"> </w:t>
      </w:r>
    </w:p>
    <w:p w:rsidR="007E0A1F" w:rsidRDefault="002246CE">
      <w:pPr>
        <w:spacing w:after="0" w:line="259" w:lineRule="auto"/>
        <w:ind w:left="0" w:right="0" w:firstLine="0"/>
        <w:jc w:val="left"/>
      </w:pPr>
      <w:r>
        <w:rPr>
          <w:rFonts w:ascii="Times New Roman" w:eastAsia="Times New Roman" w:hAnsi="Times New Roman" w:cs="Times New Roman"/>
          <w:sz w:val="24"/>
        </w:rPr>
        <w:t xml:space="preserve"> </w:t>
      </w:r>
      <w:r>
        <w:t xml:space="preserve"> </w:t>
      </w:r>
    </w:p>
    <w:p w:rsidR="001E6623" w:rsidRDefault="002246CE">
      <w:pPr>
        <w:spacing w:after="0" w:line="259" w:lineRule="auto"/>
        <w:ind w:left="254" w:right="0"/>
        <w:jc w:val="left"/>
        <w:rPr>
          <w:rFonts w:ascii="Calibri" w:eastAsia="Calibri" w:hAnsi="Calibri" w:cs="Calibri"/>
          <w:b/>
          <w:sz w:val="24"/>
        </w:rPr>
      </w:pPr>
      <w:r>
        <w:rPr>
          <w:rFonts w:ascii="Calibri" w:eastAsia="Calibri" w:hAnsi="Calibri" w:cs="Calibri"/>
          <w:b/>
          <w:sz w:val="24"/>
        </w:rPr>
        <w:t>Patie</w:t>
      </w:r>
      <w:r w:rsidR="001E6623">
        <w:rPr>
          <w:rFonts w:ascii="Calibri" w:eastAsia="Calibri" w:hAnsi="Calibri" w:cs="Calibri"/>
          <w:b/>
          <w:sz w:val="24"/>
        </w:rPr>
        <w:t xml:space="preserve">nt name: </w:t>
      </w:r>
      <w:r w:rsidR="001E6623">
        <w:rPr>
          <w:rFonts w:ascii="Calibri" w:eastAsia="Calibri" w:hAnsi="Calibri" w:cs="Calibri"/>
          <w:b/>
          <w:sz w:val="24"/>
        </w:rPr>
        <w:softHyphen/>
      </w:r>
      <w:r w:rsidR="001E6623">
        <w:rPr>
          <w:rFonts w:ascii="Calibri" w:eastAsia="Calibri" w:hAnsi="Calibri" w:cs="Calibri"/>
          <w:b/>
          <w:sz w:val="24"/>
        </w:rPr>
        <w:softHyphen/>
      </w:r>
      <w:r w:rsidR="001E6623">
        <w:rPr>
          <w:rFonts w:ascii="Calibri" w:eastAsia="Calibri" w:hAnsi="Calibri" w:cs="Calibri"/>
          <w:b/>
          <w:sz w:val="24"/>
        </w:rPr>
        <w:softHyphen/>
      </w:r>
      <w:r w:rsidR="001E6623">
        <w:rPr>
          <w:rFonts w:ascii="Calibri" w:eastAsia="Calibri" w:hAnsi="Calibri" w:cs="Calibri"/>
          <w:b/>
          <w:sz w:val="24"/>
        </w:rPr>
        <w:softHyphen/>
      </w:r>
      <w:r w:rsidR="001E6623">
        <w:rPr>
          <w:rFonts w:ascii="Calibri" w:eastAsia="Calibri" w:hAnsi="Calibri" w:cs="Calibri"/>
          <w:b/>
          <w:sz w:val="24"/>
        </w:rPr>
        <w:softHyphen/>
        <w:t>___________________________ NHS Number ________________  DOB: ________</w:t>
      </w:r>
      <w:r>
        <w:rPr>
          <w:rFonts w:ascii="Calibri" w:eastAsia="Calibri" w:hAnsi="Calibri" w:cs="Calibri"/>
          <w:b/>
          <w:sz w:val="24"/>
        </w:rPr>
        <w:t xml:space="preserve"> </w:t>
      </w:r>
    </w:p>
    <w:p w:rsidR="001E6623" w:rsidRDefault="001E6623">
      <w:pPr>
        <w:spacing w:after="0" w:line="259" w:lineRule="auto"/>
        <w:ind w:left="254" w:right="0"/>
        <w:jc w:val="left"/>
        <w:rPr>
          <w:rFonts w:ascii="Calibri" w:eastAsia="Calibri" w:hAnsi="Calibri" w:cs="Calibri"/>
          <w:b/>
          <w:sz w:val="24"/>
        </w:rPr>
      </w:pPr>
    </w:p>
    <w:p w:rsidR="007E0A1F" w:rsidRDefault="001E6623" w:rsidP="00B01BE7">
      <w:pPr>
        <w:spacing w:after="0" w:line="259" w:lineRule="auto"/>
        <w:ind w:left="254" w:right="0"/>
        <w:jc w:val="left"/>
        <w:rPr>
          <w:rFonts w:ascii="Calibri" w:eastAsia="Calibri" w:hAnsi="Calibri" w:cs="Calibri"/>
          <w:b/>
          <w:sz w:val="24"/>
        </w:rPr>
      </w:pPr>
      <w:r>
        <w:rPr>
          <w:rFonts w:ascii="Calibri" w:eastAsia="Calibri" w:hAnsi="Calibri" w:cs="Calibri"/>
          <w:b/>
          <w:sz w:val="24"/>
        </w:rPr>
        <w:t xml:space="preserve">Ward/Team </w:t>
      </w:r>
      <w:r w:rsidR="00B01BE7">
        <w:rPr>
          <w:rFonts w:ascii="Calibri" w:eastAsia="Calibri" w:hAnsi="Calibri" w:cs="Calibri"/>
          <w:b/>
          <w:sz w:val="24"/>
        </w:rPr>
        <w:t>____________________</w:t>
      </w:r>
      <w:r>
        <w:rPr>
          <w:rFonts w:ascii="Calibri" w:eastAsia="Calibri" w:hAnsi="Calibri" w:cs="Calibri"/>
          <w:b/>
          <w:sz w:val="24"/>
        </w:rPr>
        <w:t xml:space="preserve">  Inpatient Consultant (if applicable)</w:t>
      </w:r>
      <w:r w:rsidR="002246CE">
        <w:rPr>
          <w:rFonts w:ascii="Calibri" w:eastAsia="Calibri" w:hAnsi="Calibri" w:cs="Calibri"/>
          <w:b/>
          <w:sz w:val="24"/>
        </w:rPr>
        <w:t xml:space="preserve"> </w:t>
      </w:r>
      <w:r w:rsidR="00B01BE7">
        <w:rPr>
          <w:rFonts w:ascii="Calibri" w:eastAsia="Calibri" w:hAnsi="Calibri" w:cs="Calibri"/>
          <w:b/>
          <w:sz w:val="24"/>
        </w:rPr>
        <w:t>________</w:t>
      </w:r>
      <w:r w:rsidR="00B01BE7">
        <w:rPr>
          <w:rFonts w:ascii="Calibri" w:eastAsia="Calibri" w:hAnsi="Calibri" w:cs="Calibri"/>
          <w:b/>
          <w:sz w:val="24"/>
        </w:rPr>
        <w:softHyphen/>
      </w:r>
      <w:r w:rsidR="00B01BE7">
        <w:rPr>
          <w:rFonts w:ascii="Calibri" w:eastAsia="Calibri" w:hAnsi="Calibri" w:cs="Calibri"/>
          <w:b/>
          <w:sz w:val="24"/>
        </w:rPr>
        <w:softHyphen/>
      </w:r>
      <w:r w:rsidR="00B01BE7">
        <w:rPr>
          <w:rFonts w:ascii="Calibri" w:eastAsia="Calibri" w:hAnsi="Calibri" w:cs="Calibri"/>
          <w:b/>
          <w:sz w:val="24"/>
        </w:rPr>
        <w:softHyphen/>
      </w:r>
      <w:r w:rsidR="00B01BE7">
        <w:rPr>
          <w:rFonts w:ascii="Calibri" w:eastAsia="Calibri" w:hAnsi="Calibri" w:cs="Calibri"/>
          <w:b/>
          <w:sz w:val="24"/>
        </w:rPr>
        <w:softHyphen/>
        <w:t>__________</w:t>
      </w:r>
    </w:p>
    <w:p w:rsidR="001E6623" w:rsidRDefault="001E6623">
      <w:pPr>
        <w:spacing w:after="0" w:line="259" w:lineRule="auto"/>
        <w:ind w:left="254" w:right="0"/>
        <w:jc w:val="left"/>
        <w:rPr>
          <w:rFonts w:ascii="Calibri" w:eastAsia="Calibri" w:hAnsi="Calibri" w:cs="Calibri"/>
          <w:b/>
          <w:sz w:val="24"/>
        </w:rPr>
      </w:pPr>
    </w:p>
    <w:p w:rsidR="001E6623" w:rsidRDefault="001E6623">
      <w:pPr>
        <w:spacing w:after="0" w:line="259" w:lineRule="auto"/>
        <w:ind w:left="254" w:right="0"/>
        <w:jc w:val="left"/>
        <w:rPr>
          <w:rFonts w:ascii="Calibri" w:eastAsia="Calibri" w:hAnsi="Calibri" w:cs="Calibri"/>
          <w:b/>
          <w:sz w:val="24"/>
        </w:rPr>
      </w:pPr>
      <w:r>
        <w:rPr>
          <w:rFonts w:ascii="Calibri" w:eastAsia="Calibri" w:hAnsi="Calibri" w:cs="Calibri"/>
          <w:b/>
          <w:sz w:val="24"/>
        </w:rPr>
        <w:t>Community Consultant _____________________________________________________________</w:t>
      </w:r>
    </w:p>
    <w:p w:rsidR="001E6623" w:rsidRDefault="001E6623">
      <w:pPr>
        <w:spacing w:after="0" w:line="259" w:lineRule="auto"/>
        <w:ind w:left="254" w:right="0"/>
        <w:jc w:val="left"/>
      </w:pPr>
    </w:p>
    <w:p w:rsidR="007E0A1F" w:rsidRDefault="00B01BE7" w:rsidP="001E6623">
      <w:pPr>
        <w:spacing w:after="363" w:line="259" w:lineRule="auto"/>
        <w:ind w:left="245" w:right="0" w:firstLine="0"/>
        <w:jc w:val="left"/>
      </w:pPr>
      <w:r>
        <w:rPr>
          <w:rFonts w:ascii="Calibri" w:eastAsia="Calibri" w:hAnsi="Calibri" w:cs="Calibri"/>
          <w:b/>
          <w:sz w:val="24"/>
        </w:rPr>
        <w:t>Second Generation LAI</w:t>
      </w:r>
      <w:r w:rsidR="002246CE">
        <w:rPr>
          <w:rFonts w:ascii="Calibri" w:eastAsia="Calibri" w:hAnsi="Calibri" w:cs="Calibri"/>
          <w:b/>
          <w:sz w:val="24"/>
        </w:rPr>
        <w:t xml:space="preserve"> Requested </w:t>
      </w:r>
      <w:r>
        <w:rPr>
          <w:rFonts w:ascii="Calibri" w:eastAsia="Calibri" w:hAnsi="Calibri" w:cs="Calibri"/>
          <w:b/>
          <w:sz w:val="24"/>
        </w:rPr>
        <w:t>(Please State)</w:t>
      </w:r>
    </w:p>
    <w:p w:rsidR="001E6623" w:rsidRDefault="002246CE" w:rsidP="00B01BE7">
      <w:pPr>
        <w:pBdr>
          <w:top w:val="single" w:sz="6" w:space="0" w:color="000000"/>
          <w:left w:val="single" w:sz="6" w:space="16" w:color="000000"/>
          <w:bottom w:val="single" w:sz="6" w:space="0" w:color="000000"/>
          <w:right w:val="single" w:sz="6" w:space="0" w:color="000000"/>
        </w:pBdr>
        <w:spacing w:after="487" w:line="259" w:lineRule="auto"/>
        <w:ind w:left="590" w:right="0" w:firstLine="0"/>
        <w:jc w:val="left"/>
      </w:pPr>
      <w:r>
        <w:t xml:space="preserve"> </w:t>
      </w:r>
    </w:p>
    <w:p w:rsidR="00B01BE7" w:rsidRDefault="00B01BE7" w:rsidP="00B01BE7">
      <w:pPr>
        <w:pBdr>
          <w:top w:val="single" w:sz="6" w:space="0" w:color="000000"/>
          <w:left w:val="single" w:sz="6" w:space="16" w:color="000000"/>
          <w:bottom w:val="single" w:sz="6" w:space="0" w:color="000000"/>
          <w:right w:val="single" w:sz="6" w:space="0" w:color="000000"/>
        </w:pBdr>
        <w:spacing w:after="487" w:line="259" w:lineRule="auto"/>
        <w:ind w:left="590" w:right="0" w:firstLine="0"/>
        <w:jc w:val="left"/>
      </w:pPr>
    </w:p>
    <w:p w:rsidR="00B01BE7" w:rsidRDefault="002246CE" w:rsidP="00B01BE7">
      <w:pPr>
        <w:spacing w:after="0" w:line="259" w:lineRule="auto"/>
        <w:ind w:left="0" w:right="0" w:firstLine="0"/>
        <w:jc w:val="left"/>
        <w:rPr>
          <w:rFonts w:ascii="Calibri" w:eastAsia="Calibri" w:hAnsi="Calibri" w:cs="Calibri"/>
          <w:b/>
          <w:sz w:val="24"/>
        </w:rPr>
      </w:pPr>
      <w:r>
        <w:rPr>
          <w:rFonts w:ascii="Calibri" w:eastAsia="Calibri" w:hAnsi="Calibri" w:cs="Calibri"/>
          <w:b/>
          <w:sz w:val="24"/>
        </w:rPr>
        <w:t xml:space="preserve">Diagnosis </w:t>
      </w:r>
      <w:r w:rsidR="00D707B2">
        <w:rPr>
          <w:rFonts w:ascii="Calibri" w:eastAsia="Calibri" w:hAnsi="Calibri" w:cs="Calibri"/>
          <w:b/>
          <w:sz w:val="24"/>
        </w:rPr>
        <w:t>and indications</w:t>
      </w:r>
    </w:p>
    <w:p w:rsidR="00B01BE7" w:rsidRPr="00B01BE7" w:rsidRDefault="00B01BE7" w:rsidP="00B01BE7">
      <w:pPr>
        <w:spacing w:after="0" w:line="259" w:lineRule="auto"/>
        <w:ind w:left="0" w:right="0" w:firstLine="0"/>
        <w:jc w:val="left"/>
        <w:rPr>
          <w:rFonts w:ascii="Calibri" w:eastAsia="Calibri" w:hAnsi="Calibri" w:cs="Calibri"/>
          <w:b/>
          <w:sz w:val="24"/>
        </w:rPr>
      </w:pPr>
    </w:p>
    <w:tbl>
      <w:tblPr>
        <w:tblStyle w:val="TableGrid"/>
        <w:tblW w:w="5000" w:type="pct"/>
        <w:tblInd w:w="0" w:type="dxa"/>
        <w:tblCellMar>
          <w:top w:w="53" w:type="dxa"/>
          <w:left w:w="108" w:type="dxa"/>
          <w:right w:w="115" w:type="dxa"/>
        </w:tblCellMar>
        <w:tblLook w:val="04A0" w:firstRow="1" w:lastRow="0" w:firstColumn="1" w:lastColumn="0" w:noHBand="0" w:noVBand="1"/>
      </w:tblPr>
      <w:tblGrid>
        <w:gridCol w:w="9933"/>
      </w:tblGrid>
      <w:tr w:rsidR="007E0A1F" w:rsidTr="00B01BE7">
        <w:trPr>
          <w:trHeight w:val="221"/>
        </w:trPr>
        <w:tc>
          <w:tcPr>
            <w:tcW w:w="5000" w:type="pct"/>
            <w:tcBorders>
              <w:top w:val="single" w:sz="4" w:space="0" w:color="000000"/>
              <w:left w:val="single" w:sz="4" w:space="0" w:color="000000"/>
              <w:bottom w:val="single" w:sz="4" w:space="0" w:color="000000"/>
              <w:right w:val="single" w:sz="4" w:space="0" w:color="000000"/>
            </w:tcBorders>
          </w:tcPr>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2246CE">
            <w:pPr>
              <w:spacing w:after="0" w:line="259" w:lineRule="auto"/>
              <w:ind w:left="0" w:right="0" w:firstLine="0"/>
              <w:jc w:val="left"/>
            </w:pPr>
            <w:r>
              <w:rPr>
                <w:rFonts w:ascii="Calibri" w:eastAsia="Calibri" w:hAnsi="Calibri" w:cs="Calibri"/>
                <w:b/>
                <w:sz w:val="24"/>
              </w:rPr>
              <w:t xml:space="preserve"> </w:t>
            </w:r>
          </w:p>
          <w:p w:rsidR="007E0A1F" w:rsidRDefault="007E0A1F">
            <w:pPr>
              <w:spacing w:after="0" w:line="259" w:lineRule="auto"/>
              <w:ind w:left="0" w:right="0" w:firstLine="0"/>
              <w:jc w:val="left"/>
            </w:pPr>
          </w:p>
        </w:tc>
      </w:tr>
    </w:tbl>
    <w:p w:rsidR="00B01BE7" w:rsidRDefault="00B01BE7">
      <w:pPr>
        <w:spacing w:after="0" w:line="259" w:lineRule="auto"/>
        <w:ind w:left="75" w:right="0"/>
        <w:jc w:val="left"/>
        <w:rPr>
          <w:rFonts w:ascii="Calibri" w:eastAsia="Calibri" w:hAnsi="Calibri" w:cs="Calibri"/>
          <w:b/>
          <w:sz w:val="24"/>
        </w:rPr>
      </w:pPr>
    </w:p>
    <w:p w:rsidR="007E0A1F" w:rsidRDefault="002246CE">
      <w:pPr>
        <w:spacing w:after="0" w:line="259" w:lineRule="auto"/>
        <w:ind w:left="75" w:right="0"/>
        <w:jc w:val="left"/>
        <w:rPr>
          <w:rFonts w:ascii="Calibri" w:eastAsia="Calibri" w:hAnsi="Calibri" w:cs="Calibri"/>
          <w:b/>
          <w:sz w:val="24"/>
        </w:rPr>
      </w:pPr>
      <w:r>
        <w:rPr>
          <w:rFonts w:ascii="Calibri" w:eastAsia="Calibri" w:hAnsi="Calibri" w:cs="Calibri"/>
          <w:b/>
          <w:sz w:val="24"/>
        </w:rPr>
        <w:t>Summary of history including capacity, insight, risk to self and others, urgent or imminent risks</w:t>
      </w:r>
      <w:r w:rsidR="00484732">
        <w:rPr>
          <w:rFonts w:ascii="Calibri" w:eastAsia="Calibri" w:hAnsi="Calibri" w:cs="Calibri"/>
          <w:b/>
          <w:sz w:val="24"/>
        </w:rPr>
        <w:t>, patient views about proposed treatment plan</w:t>
      </w:r>
      <w:r>
        <w:rPr>
          <w:rFonts w:ascii="Calibri" w:eastAsia="Calibri" w:hAnsi="Calibri" w:cs="Calibri"/>
          <w:b/>
          <w:sz w:val="24"/>
        </w:rPr>
        <w:t xml:space="preserve"> and any other pertinent issues that would </w:t>
      </w:r>
      <w:r w:rsidR="00484732">
        <w:rPr>
          <w:rFonts w:ascii="Calibri" w:eastAsia="Calibri" w:hAnsi="Calibri" w:cs="Calibri"/>
          <w:b/>
          <w:sz w:val="24"/>
        </w:rPr>
        <w:t xml:space="preserve">support use of </w:t>
      </w:r>
      <w:proofErr w:type="gramStart"/>
      <w:r w:rsidR="00484732">
        <w:rPr>
          <w:rFonts w:ascii="Calibri" w:eastAsia="Calibri" w:hAnsi="Calibri" w:cs="Calibri"/>
          <w:b/>
          <w:sz w:val="24"/>
        </w:rPr>
        <w:t>a</w:t>
      </w:r>
      <w:proofErr w:type="gramEnd"/>
      <w:r w:rsidR="00484732">
        <w:rPr>
          <w:rFonts w:ascii="Calibri" w:eastAsia="Calibri" w:hAnsi="Calibri" w:cs="Calibri"/>
          <w:b/>
          <w:sz w:val="24"/>
        </w:rPr>
        <w:t xml:space="preserve"> SGA LAI </w:t>
      </w:r>
      <w:r>
        <w:rPr>
          <w:rFonts w:ascii="Calibri" w:eastAsia="Calibri" w:hAnsi="Calibri" w:cs="Calibri"/>
          <w:b/>
          <w:sz w:val="24"/>
        </w:rPr>
        <w:t xml:space="preserve">(please add any additional information on a separate sheet) </w:t>
      </w:r>
    </w:p>
    <w:p w:rsidR="00B01BE7" w:rsidRDefault="00B01BE7">
      <w:pPr>
        <w:spacing w:after="0" w:line="259" w:lineRule="auto"/>
        <w:ind w:left="75" w:right="0"/>
        <w:jc w:val="left"/>
      </w:pPr>
    </w:p>
    <w:tbl>
      <w:tblPr>
        <w:tblStyle w:val="TableGrid"/>
        <w:tblW w:w="9894" w:type="dxa"/>
        <w:tblInd w:w="-289" w:type="dxa"/>
        <w:tblCellMar>
          <w:top w:w="50" w:type="dxa"/>
          <w:left w:w="108" w:type="dxa"/>
          <w:right w:w="115" w:type="dxa"/>
        </w:tblCellMar>
        <w:tblLook w:val="04A0" w:firstRow="1" w:lastRow="0" w:firstColumn="1" w:lastColumn="0" w:noHBand="0" w:noVBand="1"/>
      </w:tblPr>
      <w:tblGrid>
        <w:gridCol w:w="9894"/>
      </w:tblGrid>
      <w:tr w:rsidR="007E0A1F" w:rsidTr="00D707B2">
        <w:trPr>
          <w:trHeight w:val="3886"/>
        </w:trPr>
        <w:tc>
          <w:tcPr>
            <w:tcW w:w="9894" w:type="dxa"/>
            <w:tcBorders>
              <w:top w:val="single" w:sz="4" w:space="0" w:color="000000"/>
              <w:left w:val="single" w:sz="4" w:space="0" w:color="000000"/>
              <w:bottom w:val="single" w:sz="4" w:space="0" w:color="000000"/>
              <w:right w:val="single" w:sz="4" w:space="0" w:color="000000"/>
            </w:tcBorders>
          </w:tcPr>
          <w:p w:rsidR="007E0A1F" w:rsidRDefault="002246CE">
            <w:pPr>
              <w:spacing w:after="501"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484732" w:rsidRDefault="00484732">
            <w:pPr>
              <w:spacing w:after="501" w:line="259" w:lineRule="auto"/>
              <w:ind w:left="0" w:right="0" w:firstLine="0"/>
              <w:jc w:val="left"/>
            </w:pPr>
          </w:p>
          <w:p w:rsidR="007E0A1F" w:rsidRDefault="002246CE">
            <w:pPr>
              <w:spacing w:after="501" w:line="259" w:lineRule="auto"/>
              <w:ind w:left="0" w:right="0" w:firstLine="0"/>
              <w:jc w:val="left"/>
            </w:pPr>
            <w:r>
              <w:t xml:space="preserve"> </w:t>
            </w:r>
          </w:p>
          <w:p w:rsidR="007E0A1F" w:rsidRDefault="002246CE">
            <w:pPr>
              <w:spacing w:after="0" w:line="259" w:lineRule="auto"/>
              <w:ind w:left="0" w:right="0" w:firstLine="0"/>
              <w:jc w:val="left"/>
            </w:pPr>
            <w:r>
              <w:t xml:space="preserve"> </w:t>
            </w:r>
          </w:p>
        </w:tc>
      </w:tr>
    </w:tbl>
    <w:p w:rsidR="007E0A1F" w:rsidRDefault="002246CE">
      <w:pPr>
        <w:spacing w:after="289" w:line="259" w:lineRule="auto"/>
        <w:ind w:left="168" w:right="0"/>
        <w:jc w:val="left"/>
      </w:pPr>
      <w:r>
        <w:rPr>
          <w:rFonts w:ascii="Calibri" w:eastAsia="Calibri" w:hAnsi="Calibri" w:cs="Calibri"/>
          <w:b/>
          <w:sz w:val="24"/>
        </w:rPr>
        <w:t xml:space="preserve">Previous medication history including details of efficacy, adverse drug reactions, </w:t>
      </w:r>
      <w:r w:rsidR="00D707B2">
        <w:rPr>
          <w:rFonts w:ascii="Calibri" w:eastAsia="Calibri" w:hAnsi="Calibri" w:cs="Calibri"/>
          <w:b/>
          <w:sz w:val="24"/>
        </w:rPr>
        <w:t>adherence</w:t>
      </w:r>
      <w:r>
        <w:rPr>
          <w:rFonts w:ascii="Calibri" w:eastAsia="Calibri" w:hAnsi="Calibri" w:cs="Calibri"/>
          <w:b/>
          <w:sz w:val="24"/>
        </w:rPr>
        <w:t xml:space="preserve"> to treatment and consent (please add any additional information on a separate sheet).</w:t>
      </w:r>
      <w:r>
        <w:t xml:space="preserve"> </w:t>
      </w:r>
    </w:p>
    <w:tbl>
      <w:tblPr>
        <w:tblStyle w:val="TableGrid"/>
        <w:tblW w:w="9798" w:type="dxa"/>
        <w:tblInd w:w="-289" w:type="dxa"/>
        <w:tblCellMar>
          <w:top w:w="53" w:type="dxa"/>
          <w:left w:w="108" w:type="dxa"/>
          <w:right w:w="115" w:type="dxa"/>
        </w:tblCellMar>
        <w:tblLook w:val="04A0" w:firstRow="1" w:lastRow="0" w:firstColumn="1" w:lastColumn="0" w:noHBand="0" w:noVBand="1"/>
      </w:tblPr>
      <w:tblGrid>
        <w:gridCol w:w="9798"/>
      </w:tblGrid>
      <w:tr w:rsidR="007E0A1F" w:rsidTr="00D707B2">
        <w:trPr>
          <w:trHeight w:val="5436"/>
        </w:trPr>
        <w:tc>
          <w:tcPr>
            <w:tcW w:w="9798" w:type="dxa"/>
            <w:tcBorders>
              <w:top w:val="single" w:sz="4" w:space="0" w:color="000000"/>
              <w:left w:val="single" w:sz="4" w:space="0" w:color="000000"/>
              <w:bottom w:val="single" w:sz="4" w:space="0" w:color="000000"/>
              <w:right w:val="single" w:sz="4" w:space="0" w:color="000000"/>
            </w:tcBorders>
          </w:tcPr>
          <w:p w:rsidR="007E0A1F" w:rsidRDefault="002246CE">
            <w:pPr>
              <w:spacing w:after="501" w:line="259" w:lineRule="auto"/>
              <w:ind w:left="0" w:right="0" w:firstLine="0"/>
              <w:jc w:val="left"/>
            </w:pPr>
            <w:r>
              <w:t xml:space="preserve"> </w:t>
            </w:r>
          </w:p>
          <w:p w:rsidR="007E0A1F" w:rsidRDefault="002246CE">
            <w:pPr>
              <w:spacing w:after="499"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7E0A1F" w:rsidRDefault="002246CE">
            <w:pPr>
              <w:spacing w:after="501" w:line="259" w:lineRule="auto"/>
              <w:ind w:left="0" w:right="0" w:firstLine="0"/>
              <w:jc w:val="left"/>
            </w:pPr>
            <w:r>
              <w:t xml:space="preserve"> </w:t>
            </w:r>
          </w:p>
          <w:p w:rsidR="007E0A1F" w:rsidRDefault="002246CE">
            <w:pPr>
              <w:spacing w:after="0" w:line="259" w:lineRule="auto"/>
              <w:ind w:left="0" w:right="0" w:firstLine="0"/>
              <w:jc w:val="left"/>
            </w:pPr>
            <w:r>
              <w:t xml:space="preserve"> </w:t>
            </w:r>
          </w:p>
        </w:tc>
      </w:tr>
    </w:tbl>
    <w:p w:rsidR="007E0A1F" w:rsidRDefault="002246CE">
      <w:pPr>
        <w:spacing w:after="0" w:line="259" w:lineRule="auto"/>
        <w:ind w:left="158" w:right="0" w:firstLine="0"/>
        <w:jc w:val="left"/>
      </w:pPr>
      <w:r>
        <w:t xml:space="preserve"> </w:t>
      </w:r>
    </w:p>
    <w:p w:rsidR="007E0A1F" w:rsidRDefault="002246CE">
      <w:pPr>
        <w:spacing w:after="0" w:line="259" w:lineRule="auto"/>
        <w:ind w:left="254" w:right="0"/>
        <w:jc w:val="left"/>
      </w:pPr>
      <w:r>
        <w:rPr>
          <w:rFonts w:ascii="Calibri" w:eastAsia="Calibri" w:hAnsi="Calibri" w:cs="Calibri"/>
          <w:b/>
          <w:sz w:val="24"/>
        </w:rPr>
        <w:t>Proposed Treatment plan – must include the rationale for the drug requested</w:t>
      </w:r>
      <w:r w:rsidR="00B01BE7">
        <w:rPr>
          <w:rFonts w:ascii="Calibri" w:eastAsia="Calibri" w:hAnsi="Calibri" w:cs="Calibri"/>
          <w:b/>
          <w:sz w:val="24"/>
        </w:rPr>
        <w:t xml:space="preserve">.  If the patient has treatment resistant schizophrenia information </w:t>
      </w:r>
      <w:r w:rsidR="00B01BE7" w:rsidRPr="00B01BE7">
        <w:rPr>
          <w:rFonts w:ascii="Calibri" w:eastAsia="Calibri" w:hAnsi="Calibri" w:cs="Calibri"/>
          <w:b/>
          <w:sz w:val="24"/>
          <w:u w:val="single"/>
        </w:rPr>
        <w:t>must</w:t>
      </w:r>
      <w:r w:rsidR="00B01BE7">
        <w:rPr>
          <w:rFonts w:ascii="Calibri" w:eastAsia="Calibri" w:hAnsi="Calibri" w:cs="Calibri"/>
          <w:b/>
          <w:sz w:val="24"/>
        </w:rPr>
        <w:t xml:space="preserve"> be included about why clozapine is not considered clinically appropriate e.g. previous red result</w:t>
      </w:r>
    </w:p>
    <w:p w:rsidR="007E0A1F" w:rsidRDefault="002246CE">
      <w:pPr>
        <w:spacing w:after="0" w:line="259" w:lineRule="auto"/>
        <w:ind w:left="158" w:right="0" w:firstLine="0"/>
        <w:jc w:val="left"/>
      </w:pPr>
      <w:r>
        <w:t xml:space="preserve"> </w:t>
      </w:r>
    </w:p>
    <w:tbl>
      <w:tblPr>
        <w:tblStyle w:val="TableGrid"/>
        <w:tblW w:w="9360" w:type="dxa"/>
        <w:tblInd w:w="178" w:type="dxa"/>
        <w:tblCellMar>
          <w:top w:w="53" w:type="dxa"/>
          <w:left w:w="108" w:type="dxa"/>
          <w:right w:w="115" w:type="dxa"/>
        </w:tblCellMar>
        <w:tblLook w:val="04A0" w:firstRow="1" w:lastRow="0" w:firstColumn="1" w:lastColumn="0" w:noHBand="0" w:noVBand="1"/>
      </w:tblPr>
      <w:tblGrid>
        <w:gridCol w:w="9360"/>
      </w:tblGrid>
      <w:tr w:rsidR="007E0A1F">
        <w:trPr>
          <w:trHeight w:val="5292"/>
        </w:trPr>
        <w:tc>
          <w:tcPr>
            <w:tcW w:w="9360" w:type="dxa"/>
            <w:tcBorders>
              <w:top w:val="single" w:sz="4" w:space="0" w:color="000000"/>
              <w:left w:val="single" w:sz="4" w:space="0" w:color="000000"/>
              <w:bottom w:val="single" w:sz="4" w:space="0" w:color="000000"/>
              <w:right w:val="single" w:sz="4" w:space="0" w:color="000000"/>
            </w:tcBorders>
          </w:tcPr>
          <w:p w:rsidR="007E0A1F" w:rsidRDefault="002246CE">
            <w:pPr>
              <w:spacing w:after="0" w:line="259" w:lineRule="auto"/>
              <w:ind w:left="0" w:right="0" w:firstLine="0"/>
              <w:jc w:val="left"/>
            </w:pPr>
            <w:r>
              <w:t xml:space="preserve"> </w:t>
            </w: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p w:rsidR="00B01BE7" w:rsidRDefault="00B01BE7">
            <w:pPr>
              <w:spacing w:after="0" w:line="259" w:lineRule="auto"/>
              <w:ind w:left="0" w:right="0" w:firstLine="0"/>
              <w:jc w:val="left"/>
            </w:pPr>
          </w:p>
        </w:tc>
      </w:tr>
    </w:tbl>
    <w:p w:rsidR="007E0A1F" w:rsidRDefault="002246CE">
      <w:pPr>
        <w:spacing w:after="501" w:line="259" w:lineRule="auto"/>
        <w:ind w:left="158" w:right="0" w:firstLine="0"/>
        <w:jc w:val="left"/>
      </w:pPr>
      <w:r>
        <w:t xml:space="preserve"> </w:t>
      </w:r>
    </w:p>
    <w:p w:rsidR="007E0A1F" w:rsidRDefault="002246CE">
      <w:pPr>
        <w:spacing w:after="501" w:line="259" w:lineRule="auto"/>
        <w:ind w:left="158" w:right="0" w:firstLine="0"/>
        <w:jc w:val="left"/>
      </w:pPr>
      <w:r>
        <w:t xml:space="preserve"> </w:t>
      </w:r>
    </w:p>
    <w:tbl>
      <w:tblPr>
        <w:tblStyle w:val="TableGrid"/>
        <w:tblW w:w="9612" w:type="dxa"/>
        <w:tblInd w:w="268" w:type="dxa"/>
        <w:tblCellMar>
          <w:top w:w="49" w:type="dxa"/>
          <w:left w:w="8" w:type="dxa"/>
        </w:tblCellMar>
        <w:tblLook w:val="04A0" w:firstRow="1" w:lastRow="0" w:firstColumn="1" w:lastColumn="0" w:noHBand="0" w:noVBand="1"/>
      </w:tblPr>
      <w:tblGrid>
        <w:gridCol w:w="8645"/>
        <w:gridCol w:w="967"/>
      </w:tblGrid>
      <w:tr w:rsidR="007E0A1F">
        <w:trPr>
          <w:trHeight w:val="511"/>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rsidP="00D707B2">
            <w:pPr>
              <w:spacing w:after="0" w:line="259" w:lineRule="auto"/>
              <w:ind w:left="106" w:right="0" w:firstLine="0"/>
              <w:jc w:val="left"/>
            </w:pPr>
            <w:r>
              <w:t xml:space="preserve"> </w:t>
            </w:r>
            <w:r>
              <w:rPr>
                <w:rFonts w:ascii="Times New Roman" w:eastAsia="Times New Roman" w:hAnsi="Times New Roman" w:cs="Times New Roman"/>
                <w:sz w:val="17"/>
              </w:rPr>
              <w:t xml:space="preserve"> </w:t>
            </w:r>
            <w:r>
              <w:rPr>
                <w:b/>
              </w:rPr>
              <w:t>Criteria for approval</w:t>
            </w:r>
            <w:r>
              <w:t xml:space="preserve">  </w:t>
            </w:r>
            <w:r>
              <w:rPr>
                <w:rFonts w:ascii="Times New Roman" w:eastAsia="Times New Roman" w:hAnsi="Times New Roman" w:cs="Times New Roman"/>
                <w:sz w:val="24"/>
              </w:rPr>
              <w:t xml:space="preserve">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103" w:right="0" w:firstLine="0"/>
              <w:jc w:val="left"/>
            </w:pPr>
            <w:r>
              <w:rPr>
                <w:b/>
              </w:rPr>
              <w:t>Yes/No</w:t>
            </w:r>
            <w:r>
              <w:t xml:space="preserve">  </w:t>
            </w:r>
          </w:p>
        </w:tc>
      </w:tr>
      <w:tr w:rsidR="007E0A1F">
        <w:trPr>
          <w:trHeight w:val="804"/>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19" w:line="259" w:lineRule="auto"/>
              <w:ind w:left="106" w:right="0" w:firstLine="0"/>
              <w:jc w:val="left"/>
            </w:pPr>
            <w:r>
              <w:t xml:space="preserve">The patient fulfils the criteria as outlined in NICE guidance 178 for the prescribing of a  </w:t>
            </w:r>
          </w:p>
          <w:p w:rsidR="007E0A1F" w:rsidRDefault="002246CE">
            <w:pPr>
              <w:spacing w:after="0" w:line="259" w:lineRule="auto"/>
              <w:ind w:left="106" w:right="0" w:firstLine="0"/>
              <w:jc w:val="left"/>
            </w:pPr>
            <w:r>
              <w:t xml:space="preserve">LAI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t xml:space="preserve"> </w:t>
            </w:r>
          </w:p>
        </w:tc>
      </w:tr>
      <w:tr w:rsidR="007E0A1F">
        <w:trPr>
          <w:trHeight w:val="1188"/>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7" w:line="274" w:lineRule="auto"/>
              <w:ind w:left="106" w:right="0" w:firstLine="0"/>
              <w:jc w:val="left"/>
            </w:pPr>
            <w:r>
              <w:t xml:space="preserve">The patient has poor adherence to medication despite intervention to address this </w:t>
            </w:r>
            <w:r>
              <w:rPr>
                <w:b/>
                <w:u w:val="single" w:color="000000"/>
              </w:rPr>
              <w:t xml:space="preserve"> OR</w:t>
            </w:r>
            <w:r>
              <w:t xml:space="preserve"> There are significant risk factors associated with non-adherence e.g. forensic issues, child protection, court orders, previous history of violence </w:t>
            </w:r>
            <w:r>
              <w:rPr>
                <w:b/>
                <w:u w:val="single" w:color="000000"/>
              </w:rPr>
              <w:t xml:space="preserve"> OR</w:t>
            </w:r>
            <w:r>
              <w:t xml:space="preserve">  </w:t>
            </w:r>
          </w:p>
          <w:p w:rsidR="007E0A1F" w:rsidRDefault="002246CE">
            <w:pPr>
              <w:spacing w:after="0" w:line="259" w:lineRule="auto"/>
              <w:ind w:left="106" w:right="0" w:firstLine="0"/>
              <w:jc w:val="left"/>
            </w:pPr>
            <w:r>
              <w:t xml:space="preserve">The patient is expressing a preference to be prescribed a depot formulation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t xml:space="preserve"> </w:t>
            </w:r>
          </w:p>
        </w:tc>
      </w:tr>
      <w:tr w:rsidR="007E0A1F">
        <w:trPr>
          <w:trHeight w:val="2062"/>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7" w:line="268" w:lineRule="auto"/>
              <w:ind w:left="106" w:right="54" w:firstLine="0"/>
              <w:jc w:val="left"/>
            </w:pPr>
            <w:r>
              <w:t xml:space="preserve">The patient has previously been prescribed a </w:t>
            </w:r>
            <w:proofErr w:type="gramStart"/>
            <w:r>
              <w:t>First Generation</w:t>
            </w:r>
            <w:proofErr w:type="gramEnd"/>
            <w:r>
              <w:t xml:space="preserve"> Antipsychotic (FGA) and has experienced intolerable side effects </w:t>
            </w:r>
            <w:r>
              <w:rPr>
                <w:b/>
                <w:u w:val="single" w:color="000000"/>
              </w:rPr>
              <w:t>OR</w:t>
            </w:r>
            <w:r>
              <w:t xml:space="preserve">  </w:t>
            </w:r>
          </w:p>
          <w:p w:rsidR="007E0A1F" w:rsidRDefault="002246CE">
            <w:pPr>
              <w:spacing w:after="23" w:line="259" w:lineRule="auto"/>
              <w:ind w:left="106" w:right="0" w:firstLine="0"/>
              <w:jc w:val="left"/>
            </w:pPr>
            <w:r>
              <w:t xml:space="preserve">The patient is refusing to accept </w:t>
            </w:r>
            <w:proofErr w:type="gramStart"/>
            <w:r>
              <w:t>a</w:t>
            </w:r>
            <w:proofErr w:type="gramEnd"/>
            <w:r>
              <w:t xml:space="preserve"> FGA LAI </w:t>
            </w:r>
            <w:r>
              <w:rPr>
                <w:b/>
                <w:u w:val="single" w:color="000000"/>
              </w:rPr>
              <w:t xml:space="preserve"> OR</w:t>
            </w:r>
            <w:r>
              <w:t xml:space="preserve">  </w:t>
            </w:r>
          </w:p>
          <w:p w:rsidR="007E0A1F" w:rsidRDefault="002246CE">
            <w:pPr>
              <w:spacing w:after="0" w:line="259" w:lineRule="auto"/>
              <w:ind w:left="106" w:right="0" w:firstLine="0"/>
              <w:jc w:val="left"/>
            </w:pPr>
            <w:r>
              <w:t xml:space="preserve">The patient has not received </w:t>
            </w:r>
            <w:proofErr w:type="gramStart"/>
            <w:r>
              <w:t>a</w:t>
            </w:r>
            <w:proofErr w:type="gramEnd"/>
            <w:r>
              <w:t xml:space="preserve"> FGA LAI but the patient history shows that oral aripiprazole or oral risperidone have previously resulted in a positive therapeutic response (as demonstrated by improved symptom control, quality of life, occupational activity, reduction in inpatient admissions)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rPr>
                <w:rFonts w:ascii="Times New Roman" w:eastAsia="Times New Roman" w:hAnsi="Times New Roman" w:cs="Times New Roman"/>
                <w:sz w:val="20"/>
              </w:rPr>
              <w:t xml:space="preserve"> </w:t>
            </w:r>
            <w:r>
              <w:t xml:space="preserve"> </w:t>
            </w:r>
          </w:p>
        </w:tc>
      </w:tr>
      <w:tr w:rsidR="007E0A1F">
        <w:trPr>
          <w:trHeight w:val="1476"/>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19" w:line="265" w:lineRule="auto"/>
              <w:ind w:left="106" w:right="0" w:firstLine="0"/>
              <w:jc w:val="left"/>
            </w:pPr>
            <w:r>
              <w:t xml:space="preserve">The patient does not fulfil the criteria for clozapine as outlined in the NICE guidance 178 </w:t>
            </w:r>
            <w:r>
              <w:rPr>
                <w:b/>
              </w:rPr>
              <w:t>OR</w:t>
            </w:r>
            <w:r>
              <w:t xml:space="preserve">  </w:t>
            </w:r>
          </w:p>
          <w:p w:rsidR="007E0A1F" w:rsidRDefault="002246CE">
            <w:pPr>
              <w:spacing w:line="265" w:lineRule="auto"/>
              <w:ind w:left="106" w:right="0" w:firstLine="0"/>
              <w:jc w:val="left"/>
            </w:pPr>
            <w:r>
              <w:t xml:space="preserve">The patient is adamantly refusing to accept clozapine despite repeated attempts to address this </w:t>
            </w:r>
            <w:r>
              <w:rPr>
                <w:b/>
              </w:rPr>
              <w:t>OR</w:t>
            </w:r>
            <w:r>
              <w:t xml:space="preserve">  </w:t>
            </w:r>
          </w:p>
          <w:p w:rsidR="007E0A1F" w:rsidRDefault="002246CE">
            <w:pPr>
              <w:spacing w:after="0" w:line="259" w:lineRule="auto"/>
              <w:ind w:left="106" w:right="0" w:firstLine="0"/>
              <w:jc w:val="left"/>
            </w:pPr>
            <w:r>
              <w:t xml:space="preserve">Clozapine is contraindicated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t xml:space="preserve"> </w:t>
            </w:r>
          </w:p>
        </w:tc>
      </w:tr>
      <w:tr w:rsidR="007E0A1F">
        <w:trPr>
          <w:trHeight w:val="1769"/>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19" w:line="265" w:lineRule="auto"/>
              <w:ind w:left="106" w:right="0" w:firstLine="0"/>
            </w:pPr>
            <w:r>
              <w:t xml:space="preserve">The prescribing will be within the licensed indications i.e. a diagnosis of schizophrenia  </w:t>
            </w:r>
            <w:r>
              <w:rPr>
                <w:b/>
              </w:rPr>
              <w:t>OR</w:t>
            </w:r>
            <w:r>
              <w:t xml:space="preserve">  </w:t>
            </w:r>
          </w:p>
          <w:p w:rsidR="007E0A1F" w:rsidRDefault="002246CE">
            <w:pPr>
              <w:spacing w:line="265" w:lineRule="auto"/>
              <w:ind w:left="106" w:right="0" w:firstLine="0"/>
              <w:jc w:val="left"/>
            </w:pPr>
            <w:r>
              <w:t xml:space="preserve">The prescribing will be for other schizophreniform disorders e.g. schizoaffective disorder </w:t>
            </w:r>
            <w:r>
              <w:rPr>
                <w:b/>
              </w:rPr>
              <w:t>OR</w:t>
            </w:r>
            <w:r>
              <w:t xml:space="preserve">  </w:t>
            </w:r>
          </w:p>
          <w:p w:rsidR="007E0A1F" w:rsidRDefault="002246CE">
            <w:pPr>
              <w:spacing w:after="0" w:line="259" w:lineRule="auto"/>
              <w:ind w:left="106" w:right="79" w:firstLine="0"/>
              <w:jc w:val="left"/>
            </w:pPr>
            <w:r>
              <w:t xml:space="preserve">The prescribing is for bipolar disorder and there is poor adherence to oral antipsychotic treatment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t xml:space="preserve"> </w:t>
            </w:r>
          </w:p>
        </w:tc>
      </w:tr>
      <w:tr w:rsidR="007E0A1F">
        <w:trPr>
          <w:trHeight w:val="562"/>
        </w:trPr>
        <w:tc>
          <w:tcPr>
            <w:tcW w:w="8645"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106" w:right="0" w:firstLine="0"/>
              <w:jc w:val="left"/>
            </w:pPr>
            <w:r>
              <w:t xml:space="preserve">The patient has been prescribed the oral therapy as outlined in the SPC for each product  </w:t>
            </w:r>
          </w:p>
        </w:tc>
        <w:tc>
          <w:tcPr>
            <w:tcW w:w="967" w:type="dxa"/>
            <w:tcBorders>
              <w:top w:val="single" w:sz="5" w:space="0" w:color="000000"/>
              <w:left w:val="single" w:sz="5" w:space="0" w:color="000000"/>
              <w:bottom w:val="single" w:sz="5" w:space="0" w:color="000000"/>
              <w:right w:val="single" w:sz="5" w:space="0" w:color="000000"/>
            </w:tcBorders>
          </w:tcPr>
          <w:p w:rsidR="007E0A1F" w:rsidRDefault="002246CE">
            <w:pPr>
              <w:spacing w:after="0" w:line="259" w:lineRule="auto"/>
              <w:ind w:left="0" w:right="0" w:firstLine="0"/>
              <w:jc w:val="left"/>
            </w:pPr>
            <w:r>
              <w:rPr>
                <w:rFonts w:ascii="Times New Roman" w:eastAsia="Times New Roman" w:hAnsi="Times New Roman" w:cs="Times New Roman"/>
                <w:sz w:val="20"/>
              </w:rPr>
              <w:t xml:space="preserve"> </w:t>
            </w:r>
            <w:r>
              <w:t xml:space="preserve"> </w:t>
            </w:r>
          </w:p>
        </w:tc>
      </w:tr>
    </w:tbl>
    <w:p w:rsidR="007E0A1F" w:rsidRDefault="002246CE" w:rsidP="00C74176">
      <w:pPr>
        <w:spacing w:after="13" w:line="259" w:lineRule="auto"/>
        <w:ind w:left="158" w:right="0" w:firstLine="0"/>
        <w:jc w:val="left"/>
      </w:pP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4"/>
        </w:rPr>
        <w:t xml:space="preserve">  </w:t>
      </w:r>
    </w:p>
    <w:p w:rsidR="007E0A1F" w:rsidRDefault="002246CE">
      <w:pPr>
        <w:tabs>
          <w:tab w:val="center" w:pos="7366"/>
        </w:tabs>
        <w:spacing w:after="0" w:line="259" w:lineRule="auto"/>
        <w:ind w:left="0" w:right="0" w:firstLine="0"/>
        <w:jc w:val="left"/>
      </w:pPr>
      <w:r>
        <w:rPr>
          <w:rFonts w:ascii="Times New Roman" w:eastAsia="Times New Roman" w:hAnsi="Times New Roman" w:cs="Times New Roman"/>
          <w:sz w:val="24"/>
        </w:rPr>
        <w:t xml:space="preserve"> </w:t>
      </w:r>
      <w:r>
        <w:rPr>
          <w:b/>
        </w:rPr>
        <w:t xml:space="preserve">Consultant: …………………………………………. </w:t>
      </w:r>
      <w:r>
        <w:rPr>
          <w:b/>
        </w:rPr>
        <w:tab/>
        <w:t>Date:</w:t>
      </w:r>
      <w:r>
        <w:t xml:space="preserve"> ……………………………… </w:t>
      </w:r>
    </w:p>
    <w:p w:rsidR="007E0A1F" w:rsidRDefault="002246CE">
      <w:pPr>
        <w:spacing w:after="0" w:line="259" w:lineRule="auto"/>
        <w:ind w:left="245" w:right="0" w:firstLine="0"/>
        <w:jc w:val="left"/>
      </w:pPr>
      <w:r>
        <w:rPr>
          <w:rFonts w:ascii="Times New Roman" w:eastAsia="Times New Roman" w:hAnsi="Times New Roman" w:cs="Times New Roman"/>
        </w:rPr>
        <w:t xml:space="preserve"> </w:t>
      </w:r>
      <w:r>
        <w:t xml:space="preserve"> </w:t>
      </w:r>
    </w:p>
    <w:p w:rsidR="007E0A1F" w:rsidRDefault="002246CE">
      <w:pPr>
        <w:spacing w:after="247" w:line="259" w:lineRule="auto"/>
        <w:ind w:left="240" w:right="0"/>
        <w:jc w:val="left"/>
      </w:pPr>
      <w:r>
        <w:rPr>
          <w:b/>
        </w:rPr>
        <w:t xml:space="preserve">Request Approved/ Not approved (rationale for non-approval will be stated here) </w:t>
      </w:r>
      <w:r>
        <w:t xml:space="preserve"> </w:t>
      </w:r>
    </w:p>
    <w:p w:rsidR="007E0A1F" w:rsidRDefault="004A3573">
      <w:pPr>
        <w:spacing w:after="247" w:line="259" w:lineRule="auto"/>
        <w:ind w:left="240" w:right="0"/>
        <w:jc w:val="left"/>
      </w:pPr>
      <w:r w:rsidRPr="004A3573">
        <w:rPr>
          <w:color w:val="auto"/>
        </w:rPr>
        <w:t xml:space="preserve">Deputy Chief Medical Officer </w:t>
      </w:r>
      <w:r w:rsidR="002246CE">
        <w:rPr>
          <w:b/>
        </w:rPr>
        <w:t>…………………………………………………………………………</w:t>
      </w:r>
      <w:r w:rsidR="002246CE">
        <w:t xml:space="preserve"> </w:t>
      </w:r>
    </w:p>
    <w:p w:rsidR="007E0A1F" w:rsidRPr="00D707B2" w:rsidRDefault="002246CE">
      <w:pPr>
        <w:spacing w:after="247" w:line="259" w:lineRule="auto"/>
        <w:ind w:left="240" w:right="0"/>
        <w:jc w:val="left"/>
      </w:pPr>
      <w:r w:rsidRPr="00D707B2">
        <w:t>Date: ……………………………………………………………………………………………</w:t>
      </w:r>
      <w:proofErr w:type="gramStart"/>
      <w:r w:rsidRPr="00D707B2">
        <w:t>…..</w:t>
      </w:r>
      <w:proofErr w:type="gramEnd"/>
      <w:r w:rsidRPr="00D707B2">
        <w:t xml:space="preserve">  </w:t>
      </w:r>
    </w:p>
    <w:p w:rsidR="007E0A1F" w:rsidRPr="00D707B2" w:rsidRDefault="002246CE">
      <w:pPr>
        <w:spacing w:after="15" w:line="259" w:lineRule="auto"/>
        <w:ind w:left="240" w:right="0"/>
        <w:jc w:val="left"/>
      </w:pPr>
      <w:r w:rsidRPr="00D707B2">
        <w:t>Chief Pharmacist :-……………………………………………………………………………</w:t>
      </w:r>
      <w:proofErr w:type="gramStart"/>
      <w:r w:rsidRPr="00D707B2">
        <w:t>…..</w:t>
      </w:r>
      <w:proofErr w:type="gramEnd"/>
      <w:r w:rsidRPr="00D707B2">
        <w:t xml:space="preserve">  </w:t>
      </w:r>
    </w:p>
    <w:p w:rsidR="00C74176" w:rsidRPr="00D707B2" w:rsidRDefault="002246CE" w:rsidP="00C74176">
      <w:pPr>
        <w:spacing w:after="0" w:line="259" w:lineRule="auto"/>
        <w:ind w:left="159" w:right="0" w:firstLine="0"/>
        <w:jc w:val="left"/>
      </w:pPr>
      <w:r w:rsidRPr="00D707B2">
        <w:rPr>
          <w:rFonts w:ascii="Times New Roman" w:eastAsia="Times New Roman" w:hAnsi="Times New Roman" w:cs="Times New Roman"/>
        </w:rPr>
        <w:t xml:space="preserve"> </w:t>
      </w:r>
      <w:r w:rsidRPr="00D707B2">
        <w:t xml:space="preserve"> </w:t>
      </w:r>
    </w:p>
    <w:p w:rsidR="007E0A1F" w:rsidRPr="00D707B2" w:rsidRDefault="002246CE" w:rsidP="00C74176">
      <w:pPr>
        <w:spacing w:after="0" w:line="259" w:lineRule="auto"/>
        <w:ind w:left="159" w:right="0" w:firstLine="0"/>
        <w:jc w:val="left"/>
      </w:pPr>
      <w:r w:rsidRPr="00D707B2">
        <w:t>Date: ……………………………………………………………………………………………</w:t>
      </w:r>
      <w:proofErr w:type="gramStart"/>
      <w:r w:rsidRPr="00D707B2">
        <w:t>…..</w:t>
      </w:r>
      <w:proofErr w:type="gramEnd"/>
      <w:r w:rsidRPr="00D707B2">
        <w:t xml:space="preserve"> </w:t>
      </w:r>
      <w:r w:rsidRPr="00D707B2">
        <w:rPr>
          <w:rFonts w:ascii="Times New Roman" w:eastAsia="Times New Roman" w:hAnsi="Times New Roman" w:cs="Times New Roman"/>
          <w:sz w:val="20"/>
        </w:rPr>
        <w:t xml:space="preserve"> </w:t>
      </w:r>
      <w:r w:rsidRPr="00D707B2">
        <w:t xml:space="preserve"> </w:t>
      </w:r>
    </w:p>
    <w:sectPr w:rsidR="007E0A1F" w:rsidRPr="00D707B2" w:rsidSect="00B01BE7">
      <w:headerReference w:type="even" r:id="rId13"/>
      <w:headerReference w:type="default" r:id="rId14"/>
      <w:footerReference w:type="even" r:id="rId15"/>
      <w:footerReference w:type="default" r:id="rId16"/>
      <w:headerReference w:type="first" r:id="rId17"/>
      <w:footerReference w:type="first" r:id="rId18"/>
      <w:pgSz w:w="11921" w:h="16841"/>
      <w:pgMar w:top="1774" w:right="797" w:bottom="2568" w:left="1181" w:header="46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6EF0" w:rsidRDefault="00656EF0">
      <w:pPr>
        <w:spacing w:after="0" w:line="240" w:lineRule="auto"/>
      </w:pPr>
      <w:r>
        <w:separator/>
      </w:r>
    </w:p>
  </w:endnote>
  <w:endnote w:type="continuationSeparator" w:id="0">
    <w:p w:rsidR="00656EF0" w:rsidRDefault="0065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0" w:right="2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E0A1F" w:rsidRDefault="002246CE">
    <w:pPr>
      <w:spacing w:after="14" w:line="259" w:lineRule="auto"/>
      <w:ind w:left="259" w:right="0" w:firstLine="0"/>
      <w:jc w:val="left"/>
    </w:pPr>
    <w:r>
      <w:t xml:space="preserve">Updated November 2020  </w:t>
    </w:r>
  </w:p>
  <w:p w:rsidR="007E0A1F" w:rsidRDefault="002246CE">
    <w:pPr>
      <w:spacing w:after="19" w:line="259" w:lineRule="auto"/>
      <w:ind w:left="259" w:right="0" w:firstLine="0"/>
      <w:jc w:val="left"/>
    </w:pPr>
    <w:r>
      <w:t xml:space="preserve">Next Review Date: November 2023 </w:t>
    </w:r>
  </w:p>
  <w:p w:rsidR="007E0A1F" w:rsidRDefault="002246CE">
    <w:pPr>
      <w:spacing w:after="0" w:line="259" w:lineRule="auto"/>
      <w:ind w:left="15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0" w:right="24" w:firstLine="0"/>
      <w:jc w:val="center"/>
    </w:pPr>
    <w:r>
      <w:fldChar w:fldCharType="begin"/>
    </w:r>
    <w:r>
      <w:instrText xml:space="preserve"> PAGE   \* MERGEFORMAT </w:instrText>
    </w:r>
    <w:r>
      <w:fldChar w:fldCharType="separate"/>
    </w:r>
    <w:r w:rsidR="00297068" w:rsidRPr="0029706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5A559C" w:rsidRDefault="002246CE" w:rsidP="005A559C">
    <w:pPr>
      <w:spacing w:after="14" w:line="259" w:lineRule="auto"/>
      <w:ind w:left="259" w:right="0" w:firstLine="0"/>
      <w:jc w:val="left"/>
    </w:pPr>
    <w:r>
      <w:t xml:space="preserve">Updated </w:t>
    </w:r>
    <w:r w:rsidR="005A559C">
      <w:t>July 2022</w:t>
    </w:r>
    <w:r>
      <w:t xml:space="preserve">  Next Review Date: </w:t>
    </w:r>
    <w:r w:rsidR="005A559C">
      <w:t>July 2025</w:t>
    </w:r>
  </w:p>
  <w:p w:rsidR="007E0A1F" w:rsidRDefault="002246CE" w:rsidP="005A559C">
    <w:pPr>
      <w:spacing w:after="14" w:line="259" w:lineRule="auto"/>
      <w:ind w:left="259" w:right="0" w:firstLine="0"/>
      <w:jc w:val="left"/>
    </w:pPr>
    <w:r>
      <w:t xml:space="preserve"> </w:t>
    </w:r>
  </w:p>
  <w:p w:rsidR="007E0A1F" w:rsidRDefault="002246CE">
    <w:pPr>
      <w:spacing w:after="0" w:line="259" w:lineRule="auto"/>
      <w:ind w:left="158"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0" w:right="2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E0A1F" w:rsidRDefault="002246CE">
    <w:pPr>
      <w:spacing w:after="14" w:line="259" w:lineRule="auto"/>
      <w:ind w:left="259" w:right="0" w:firstLine="0"/>
      <w:jc w:val="left"/>
    </w:pPr>
    <w:r>
      <w:t xml:space="preserve">Updated November 2020  </w:t>
    </w:r>
  </w:p>
  <w:p w:rsidR="007E0A1F" w:rsidRDefault="002246CE">
    <w:pPr>
      <w:spacing w:after="19" w:line="259" w:lineRule="auto"/>
      <w:ind w:left="259" w:right="0" w:firstLine="0"/>
      <w:jc w:val="left"/>
    </w:pPr>
    <w:r>
      <w:t xml:space="preserve">Next Review Date: November 2023 </w:t>
    </w:r>
  </w:p>
  <w:p w:rsidR="007E0A1F" w:rsidRDefault="002246CE">
    <w:pPr>
      <w:spacing w:after="0" w:line="259" w:lineRule="auto"/>
      <w:ind w:left="158"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6EF0" w:rsidRDefault="00656EF0">
      <w:pPr>
        <w:spacing w:after="0" w:line="240" w:lineRule="auto"/>
      </w:pPr>
      <w:r>
        <w:separator/>
      </w:r>
    </w:p>
  </w:footnote>
  <w:footnote w:type="continuationSeparator" w:id="0">
    <w:p w:rsidR="00656EF0" w:rsidRDefault="0065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158" w:right="-57" w:firstLine="0"/>
      <w:jc w:val="left"/>
    </w:pPr>
    <w:r>
      <w:rPr>
        <w:noProof/>
      </w:rPr>
      <w:drawing>
        <wp:anchor distT="0" distB="0" distL="114300" distR="114300" simplePos="0" relativeHeight="251658240" behindDoc="0" locked="0" layoutInCell="1" allowOverlap="0" wp14:anchorId="1E341C77" wp14:editId="1E341C78">
          <wp:simplePos x="0" y="0"/>
          <wp:positionH relativeFrom="page">
            <wp:posOffset>5727700</wp:posOffset>
          </wp:positionH>
          <wp:positionV relativeFrom="page">
            <wp:posOffset>294004</wp:posOffset>
          </wp:positionV>
          <wp:extent cx="1326457" cy="820541"/>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26457" cy="820541"/>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158" w:right="-57" w:firstLine="0"/>
      <w:jc w:val="left"/>
    </w:pPr>
    <w:r>
      <w:rPr>
        <w:noProof/>
      </w:rPr>
      <w:drawing>
        <wp:anchor distT="0" distB="0" distL="114300" distR="114300" simplePos="0" relativeHeight="251659264" behindDoc="0" locked="0" layoutInCell="1" allowOverlap="0" wp14:anchorId="1E341C79" wp14:editId="1E341C7A">
          <wp:simplePos x="0" y="0"/>
          <wp:positionH relativeFrom="page">
            <wp:posOffset>5727700</wp:posOffset>
          </wp:positionH>
          <wp:positionV relativeFrom="page">
            <wp:posOffset>294004</wp:posOffset>
          </wp:positionV>
          <wp:extent cx="1326457" cy="82054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26457" cy="820541"/>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A1F" w:rsidRDefault="002246CE">
    <w:pPr>
      <w:spacing w:after="0" w:line="259" w:lineRule="auto"/>
      <w:ind w:left="158" w:right="-57" w:firstLine="0"/>
      <w:jc w:val="left"/>
    </w:pPr>
    <w:r>
      <w:rPr>
        <w:noProof/>
      </w:rPr>
      <w:drawing>
        <wp:anchor distT="0" distB="0" distL="114300" distR="114300" simplePos="0" relativeHeight="251660288" behindDoc="0" locked="0" layoutInCell="1" allowOverlap="0" wp14:anchorId="1E341C7B" wp14:editId="1E341C7C">
          <wp:simplePos x="0" y="0"/>
          <wp:positionH relativeFrom="page">
            <wp:posOffset>5727700</wp:posOffset>
          </wp:positionH>
          <wp:positionV relativeFrom="page">
            <wp:posOffset>294004</wp:posOffset>
          </wp:positionV>
          <wp:extent cx="1326457" cy="82054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26457" cy="820541"/>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4" style="width:39.75pt;height:43.5pt" coordsize="" o:spt="100" o:bullet="t" adj="0,,0" path="" stroked="f">
        <v:stroke joinstyle="miter"/>
        <v:imagedata r:id="rId1" o:title="image8"/>
        <v:formulas/>
        <v:path o:connecttype="segments"/>
      </v:shape>
    </w:pict>
  </w:numPicBullet>
  <w:numPicBullet w:numPicBulletId="1">
    <w:pict>
      <v:shape id="_x0000_i1035" style="width:38.25pt;height:43.5pt" coordsize="" o:spt="100" o:bullet="t" adj="0,,0" path="" stroked="f">
        <v:stroke joinstyle="miter"/>
        <v:imagedata r:id="rId2" o:title="image10"/>
        <v:formulas/>
        <v:path o:connecttype="segments"/>
      </v:shape>
    </w:pict>
  </w:numPicBullet>
  <w:abstractNum w:abstractNumId="0" w15:restartNumberingAfterBreak="0">
    <w:nsid w:val="01B24B27"/>
    <w:multiLevelType w:val="hybridMultilevel"/>
    <w:tmpl w:val="C68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8135F"/>
    <w:multiLevelType w:val="hybridMultilevel"/>
    <w:tmpl w:val="3606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30A9F"/>
    <w:multiLevelType w:val="hybridMultilevel"/>
    <w:tmpl w:val="421A7614"/>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3" w15:restartNumberingAfterBreak="0">
    <w:nsid w:val="0F4623A6"/>
    <w:multiLevelType w:val="hybridMultilevel"/>
    <w:tmpl w:val="C0F05B00"/>
    <w:lvl w:ilvl="0" w:tplc="0809000B">
      <w:start w:val="1"/>
      <w:numFmt w:val="bullet"/>
      <w:lvlText w:val=""/>
      <w:lvlJc w:val="left"/>
      <w:pPr>
        <w:ind w:left="965" w:hanging="360"/>
      </w:pPr>
      <w:rPr>
        <w:rFonts w:ascii="Wingdings" w:hAnsi="Wingdings"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4" w15:restartNumberingAfterBreak="0">
    <w:nsid w:val="12C959B2"/>
    <w:multiLevelType w:val="hybridMultilevel"/>
    <w:tmpl w:val="A0F424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2DF7"/>
    <w:multiLevelType w:val="hybridMultilevel"/>
    <w:tmpl w:val="3C7A6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4CAC"/>
    <w:multiLevelType w:val="hybridMultilevel"/>
    <w:tmpl w:val="5E207B9E"/>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7" w15:restartNumberingAfterBreak="0">
    <w:nsid w:val="29CF211D"/>
    <w:multiLevelType w:val="hybridMultilevel"/>
    <w:tmpl w:val="239A41C8"/>
    <w:lvl w:ilvl="0" w:tplc="08090001">
      <w:start w:val="1"/>
      <w:numFmt w:val="bullet"/>
      <w:lvlText w:val=""/>
      <w:lvlJc w:val="left"/>
      <w:pPr>
        <w:ind w:left="2059" w:hanging="360"/>
      </w:pPr>
      <w:rPr>
        <w:rFonts w:ascii="Symbol" w:hAnsi="Symbol"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8" w15:restartNumberingAfterBreak="0">
    <w:nsid w:val="2DBD6817"/>
    <w:multiLevelType w:val="hybridMultilevel"/>
    <w:tmpl w:val="268401C4"/>
    <w:lvl w:ilvl="0" w:tplc="FB7C6880">
      <w:start w:val="1"/>
      <w:numFmt w:val="bullet"/>
      <w:lvlText w:val="o"/>
      <w:lvlJc w:val="left"/>
      <w:pPr>
        <w:ind w:left="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6507622">
      <w:start w:val="1"/>
      <w:numFmt w:val="bullet"/>
      <w:lvlText w:val="•"/>
      <w:lvlPicBulletId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CABE2C">
      <w:start w:val="1"/>
      <w:numFmt w:val="bullet"/>
      <w:lvlText w:val="▪"/>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420E6">
      <w:start w:val="1"/>
      <w:numFmt w:val="bullet"/>
      <w:lvlText w:val="•"/>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D6D2">
      <w:start w:val="1"/>
      <w:numFmt w:val="bullet"/>
      <w:lvlText w:val="o"/>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182A68">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E4E710">
      <w:start w:val="1"/>
      <w:numFmt w:val="bullet"/>
      <w:lvlText w:val="•"/>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6E714">
      <w:start w:val="1"/>
      <w:numFmt w:val="bullet"/>
      <w:lvlText w:val="o"/>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8CB9A">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B94C2C"/>
    <w:multiLevelType w:val="hybridMultilevel"/>
    <w:tmpl w:val="062AF300"/>
    <w:lvl w:ilvl="0" w:tplc="E12AA4B2">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0" w15:restartNumberingAfterBreak="0">
    <w:nsid w:val="3ED82DCE"/>
    <w:multiLevelType w:val="hybridMultilevel"/>
    <w:tmpl w:val="F5F673A0"/>
    <w:lvl w:ilvl="0" w:tplc="55B0930E">
      <w:start w:val="1"/>
      <w:numFmt w:val="bullet"/>
      <w:lvlText w:val="•"/>
      <w:lvlPicBulletId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AEBF4">
      <w:start w:val="1"/>
      <w:numFmt w:val="bullet"/>
      <w:lvlText w:val="o"/>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C16DC">
      <w:start w:val="1"/>
      <w:numFmt w:val="bullet"/>
      <w:lvlText w:val="▪"/>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0B618">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C42D0">
      <w:start w:val="1"/>
      <w:numFmt w:val="bullet"/>
      <w:lvlText w:val="o"/>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16858E">
      <w:start w:val="1"/>
      <w:numFmt w:val="bullet"/>
      <w:lvlText w:val="▪"/>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405246">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45068">
      <w:start w:val="1"/>
      <w:numFmt w:val="bullet"/>
      <w:lvlText w:val="o"/>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1488">
      <w:start w:val="1"/>
      <w:numFmt w:val="bullet"/>
      <w:lvlText w:val="▪"/>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894A84"/>
    <w:multiLevelType w:val="hybridMultilevel"/>
    <w:tmpl w:val="BCF4892A"/>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2" w15:restartNumberingAfterBreak="0">
    <w:nsid w:val="4FA81869"/>
    <w:multiLevelType w:val="hybridMultilevel"/>
    <w:tmpl w:val="7152EAD2"/>
    <w:lvl w:ilvl="0" w:tplc="08090001">
      <w:start w:val="1"/>
      <w:numFmt w:val="bullet"/>
      <w:lvlText w:val=""/>
      <w:lvlJc w:val="left"/>
      <w:pPr>
        <w:ind w:left="1339" w:hanging="360"/>
      </w:pPr>
      <w:rPr>
        <w:rFonts w:ascii="Symbol" w:hAnsi="Symbol"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13" w15:restartNumberingAfterBreak="0">
    <w:nsid w:val="522924AC"/>
    <w:multiLevelType w:val="hybridMultilevel"/>
    <w:tmpl w:val="40067E2C"/>
    <w:lvl w:ilvl="0" w:tplc="E0FA6E00">
      <w:start w:val="1"/>
      <w:numFmt w:val="bullet"/>
      <w:lvlText w:val="•"/>
      <w:lvlPicBulletId w:val="0"/>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ACC9E">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685AA">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ED39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109C">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CEE04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34EA48">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8C70A">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AE474A">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4062DE"/>
    <w:multiLevelType w:val="hybridMultilevel"/>
    <w:tmpl w:val="559A7988"/>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5" w15:restartNumberingAfterBreak="0">
    <w:nsid w:val="584F0DE9"/>
    <w:multiLevelType w:val="hybridMultilevel"/>
    <w:tmpl w:val="3CDAED62"/>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6" w15:restartNumberingAfterBreak="0">
    <w:nsid w:val="59597952"/>
    <w:multiLevelType w:val="hybridMultilevel"/>
    <w:tmpl w:val="2C84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840F5"/>
    <w:multiLevelType w:val="hybridMultilevel"/>
    <w:tmpl w:val="633C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C22FE"/>
    <w:multiLevelType w:val="hybridMultilevel"/>
    <w:tmpl w:val="351AAFA2"/>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19" w15:restartNumberingAfterBreak="0">
    <w:nsid w:val="7A607B90"/>
    <w:multiLevelType w:val="hybridMultilevel"/>
    <w:tmpl w:val="52FCFE4C"/>
    <w:lvl w:ilvl="0" w:tplc="641CE958">
      <w:start w:val="1"/>
      <w:numFmt w:val="bullet"/>
      <w:lvlText w:val="•"/>
      <w:lvlPicBulletId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C43770">
      <w:start w:val="1"/>
      <w:numFmt w:val="bullet"/>
      <w:lvlText w:val="o"/>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0C7A3C">
      <w:start w:val="1"/>
      <w:numFmt w:val="bullet"/>
      <w:lvlText w:val="▪"/>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07E00">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A19CE">
      <w:start w:val="1"/>
      <w:numFmt w:val="bullet"/>
      <w:lvlText w:val="o"/>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88AADA">
      <w:start w:val="1"/>
      <w:numFmt w:val="bullet"/>
      <w:lvlText w:val="▪"/>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62856">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0E40CA">
      <w:start w:val="1"/>
      <w:numFmt w:val="bullet"/>
      <w:lvlText w:val="o"/>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C8D15C">
      <w:start w:val="1"/>
      <w:numFmt w:val="bullet"/>
      <w:lvlText w:val="▪"/>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1236529">
    <w:abstractNumId w:val="13"/>
  </w:num>
  <w:num w:numId="2" w16cid:durableId="2047287576">
    <w:abstractNumId w:val="8"/>
  </w:num>
  <w:num w:numId="3" w16cid:durableId="2055497473">
    <w:abstractNumId w:val="10"/>
  </w:num>
  <w:num w:numId="4" w16cid:durableId="34743181">
    <w:abstractNumId w:val="19"/>
  </w:num>
  <w:num w:numId="5" w16cid:durableId="1940091699">
    <w:abstractNumId w:val="7"/>
  </w:num>
  <w:num w:numId="6" w16cid:durableId="1960837516">
    <w:abstractNumId w:val="17"/>
  </w:num>
  <w:num w:numId="7" w16cid:durableId="472675647">
    <w:abstractNumId w:val="6"/>
  </w:num>
  <w:num w:numId="8" w16cid:durableId="1819567882">
    <w:abstractNumId w:val="12"/>
  </w:num>
  <w:num w:numId="9" w16cid:durableId="1547377114">
    <w:abstractNumId w:val="15"/>
  </w:num>
  <w:num w:numId="10" w16cid:durableId="219249771">
    <w:abstractNumId w:val="9"/>
  </w:num>
  <w:num w:numId="11" w16cid:durableId="1231767093">
    <w:abstractNumId w:val="2"/>
  </w:num>
  <w:num w:numId="12" w16cid:durableId="36591775">
    <w:abstractNumId w:val="5"/>
  </w:num>
  <w:num w:numId="13" w16cid:durableId="1702512668">
    <w:abstractNumId w:val="11"/>
  </w:num>
  <w:num w:numId="14" w16cid:durableId="841121591">
    <w:abstractNumId w:val="1"/>
  </w:num>
  <w:num w:numId="15" w16cid:durableId="709961411">
    <w:abstractNumId w:val="3"/>
  </w:num>
  <w:num w:numId="16" w16cid:durableId="941381175">
    <w:abstractNumId w:val="4"/>
  </w:num>
  <w:num w:numId="17" w16cid:durableId="1069034436">
    <w:abstractNumId w:val="0"/>
  </w:num>
  <w:num w:numId="18" w16cid:durableId="1717241585">
    <w:abstractNumId w:val="16"/>
  </w:num>
  <w:num w:numId="19" w16cid:durableId="1253780205">
    <w:abstractNumId w:val="18"/>
  </w:num>
  <w:num w:numId="20" w16cid:durableId="153881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1F"/>
    <w:rsid w:val="000F0C1F"/>
    <w:rsid w:val="001D72BD"/>
    <w:rsid w:val="001E6623"/>
    <w:rsid w:val="002246CE"/>
    <w:rsid w:val="00297068"/>
    <w:rsid w:val="002D695A"/>
    <w:rsid w:val="00484732"/>
    <w:rsid w:val="004A3573"/>
    <w:rsid w:val="004A4D5B"/>
    <w:rsid w:val="00580C18"/>
    <w:rsid w:val="0059374C"/>
    <w:rsid w:val="005A559C"/>
    <w:rsid w:val="00656EF0"/>
    <w:rsid w:val="006C4133"/>
    <w:rsid w:val="007839C7"/>
    <w:rsid w:val="007E0A1F"/>
    <w:rsid w:val="00B01BE7"/>
    <w:rsid w:val="00C74176"/>
    <w:rsid w:val="00D707B2"/>
    <w:rsid w:val="00E51BEB"/>
    <w:rsid w:val="00FD18CB"/>
    <w:rsid w:val="00FD5989"/>
    <w:rsid w:val="00FF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1B73"/>
  <w15:docId w15:val="{43EE7567-7641-4FCA-8DFC-163FC73D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66" w:lineRule="auto"/>
      <w:ind w:left="255"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6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374C"/>
    <w:pPr>
      <w:ind w:left="720"/>
      <w:contextualSpacing/>
    </w:pPr>
  </w:style>
  <w:style w:type="character" w:styleId="Hyperlink">
    <w:name w:val="Hyperlink"/>
    <w:basedOn w:val="DefaultParagraphFont"/>
    <w:uiPriority w:val="99"/>
    <w:semiHidden/>
    <w:unhideWhenUsed/>
    <w:rsid w:val="000F0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ines.org.uk/em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4F5F11E4D554F9710EE33FE28D861" ma:contentTypeVersion="7" ma:contentTypeDescription="Create a new document." ma:contentTypeScope="" ma:versionID="74be7925771a296f93f6ec507fd56106">
  <xsd:schema xmlns:xsd="http://www.w3.org/2001/XMLSchema" xmlns:xs="http://www.w3.org/2001/XMLSchema" xmlns:p="http://schemas.microsoft.com/office/2006/metadata/properties" xmlns:ns2="09ef3695-a184-40aa-96ac-af098ed3787e" xmlns:ns3="e469be7e-ee18-4045-80dd-8d951ba1a44d" targetNamespace="http://schemas.microsoft.com/office/2006/metadata/properties" ma:root="true" ma:fieldsID="545c8af86a707a68ce199f2642af817e" ns2:_="" ns3:_="">
    <xsd:import namespace="09ef3695-a184-40aa-96ac-af098ed3787e"/>
    <xsd:import namespace="e469be7e-ee18-4045-80dd-8d951ba1a44d"/>
    <xsd:element name="properties">
      <xsd:complexType>
        <xsd:sequence>
          <xsd:element name="documentManagement">
            <xsd:complexType>
              <xsd:all>
                <xsd:element ref="ns2:_dlc_DocId" minOccurs="0"/>
                <xsd:element ref="ns2:_dlc_DocIdUrl" minOccurs="0"/>
                <xsd:element ref="ns2:_dlc_DocIdPersistId" minOccurs="0"/>
                <xsd:element ref="ns3:ReviewDate" minOccurs="0"/>
                <xsd:element ref="ns3:Information" minOccurs="0"/>
                <xsd:element ref="ns3:Review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f3695-a184-40aa-96ac-af098ed378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69be7e-ee18-4045-80dd-8d951ba1a44d" elementFormDefault="qualified">
    <xsd:import namespace="http://schemas.microsoft.com/office/2006/documentManagement/types"/>
    <xsd:import namespace="http://schemas.microsoft.com/office/infopath/2007/PartnerControls"/>
    <xsd:element name="ReviewDate" ma:index="11" nillable="true" ma:displayName="Review Date" ma:format="DateOnly" ma:internalName="ReviewDate">
      <xsd:simpleType>
        <xsd:restriction base="dms:DateTime"/>
      </xsd:simpleType>
    </xsd:element>
    <xsd:element name="Information" ma:index="12" nillable="true" ma:displayName="Information" ma:internalName="Information">
      <xsd:simpleType>
        <xsd:restriction base="dms:Note">
          <xsd:maxLength value="255"/>
        </xsd:restriction>
      </xsd:simpleType>
    </xsd:element>
    <xsd:element name="ReviewFlag" ma:index="13" nillable="true" ma:displayName="Review Flag" ma:default="No" ma:format="Dropdown" ma:internalName="Review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9ef3695-a184-40aa-96ac-af098ed3787e">LCFT-956437712-8</_dlc_DocId>
    <_dlc_DocIdUrl xmlns="09ef3695-a184-40aa-96ac-af098ed3787e">
      <Url>http://portals/pharmacyservices/_layouts/15/DocIdRedir.aspx?ID=LCFT-956437712-8</Url>
      <Description>LCFT-956437712-8</Description>
    </_dlc_DocIdUrl>
    <ReviewFlag xmlns="e469be7e-ee18-4045-80dd-8d951ba1a44d">No</ReviewFlag>
    <ReviewDate xmlns="e469be7e-ee18-4045-80dd-8d951ba1a44d">2023-07-31T23:00:00+00:00</ReviewDate>
    <Information xmlns="e469be7e-ee18-4045-80dd-8d951ba1a4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5B669-FE0E-4377-B7A2-95D7BF2D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f3695-a184-40aa-96ac-af098ed3787e"/>
    <ds:schemaRef ds:uri="e469be7e-ee18-4045-80dd-8d951ba1a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7FC6D-A771-4B8F-9271-3C8547A8B2E2}">
  <ds:schemaRefs>
    <ds:schemaRef ds:uri="http://schemas.microsoft.com/sharepoint/events"/>
  </ds:schemaRefs>
</ds:datastoreItem>
</file>

<file path=customXml/itemProps3.xml><?xml version="1.0" encoding="utf-8"?>
<ds:datastoreItem xmlns:ds="http://schemas.openxmlformats.org/officeDocument/2006/customXml" ds:itemID="{06F1B4C5-0CBD-439D-8493-3CA979BD4D7A}">
  <ds:schemaRefs>
    <ds:schemaRef ds:uri="http://schemas.microsoft.com/office/2006/metadata/properties"/>
    <ds:schemaRef ds:uri="http://schemas.microsoft.com/office/infopath/2007/PartnerControls"/>
    <ds:schemaRef ds:uri="09ef3695-a184-40aa-96ac-af098ed3787e"/>
    <ds:schemaRef ds:uri="e469be7e-ee18-4045-80dd-8d951ba1a44d"/>
  </ds:schemaRefs>
</ds:datastoreItem>
</file>

<file path=customXml/itemProps4.xml><?xml version="1.0" encoding="utf-8"?>
<ds:datastoreItem xmlns:ds="http://schemas.openxmlformats.org/officeDocument/2006/customXml" ds:itemID="{CA57B4EC-387B-4D87-9A3E-AA4268A8A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Guidance for Prescribing Second Generation Long Acting Injections. July 2022</vt:lpstr>
    </vt:vector>
  </TitlesOfParts>
  <Company>Lancashire Care NHS Foundation Trust</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Prescribing Second Generation Long Acting Injections. July 2022</dc:title>
  <dc:subject/>
  <dc:creator>Fearon Janette (LCFT)</dc:creator>
  <cp:keywords/>
  <cp:lastModifiedBy>Rebecca Greenwood (ML)</cp:lastModifiedBy>
  <cp:revision>1</cp:revision>
  <dcterms:created xsi:type="dcterms:W3CDTF">2024-05-28T08:02:00Z</dcterms:created>
  <dcterms:modified xsi:type="dcterms:W3CDTF">2024-05-28T08:02:00Z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0x01010040E4F5F11E4D554F9710EE33FE28D861</vt:lpwstr>
  </property>
  <property fmtid="{D5CDD505-2E9C-101B-9397-08002B2CF9AE}" pid="3" name="TaxKeyword">
    <vt:lpwstr/>
  </property>
  <property fmtid="{D5CDD505-2E9C-101B-9397-08002B2CF9AE}" pid="4" name="_dlc_DocIdItemGuid">
    <vt:lpwstr>2b068b2d-7d1a-4ae6-ab2f-63b63e0f09e7</vt:lpwstr>
  </property>
  <property fmtid="{D5CDD505-2E9C-101B-9397-08002B2CF9AE}" pid="5" name="WorkflowChangePath">
    <vt:lpwstr>2265ba7f-6c05-425d-9442-72007c464af0,5;</vt:lpwstr>
  </property>
</Properties>
</file>